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eading=h.gjdgxs" w:colFirst="0" w:colLast="0"/>
    <w:bookmarkStart w:id="1" w:name="_GoBack"/>
    <w:bookmarkEnd w:id="0"/>
    <w:bookmarkEnd w:id="1"/>
    <w:p w14:paraId="249DA301" w14:textId="77777777" w:rsidR="0078495C" w:rsidRDefault="00A12A6F">
      <w:pPr>
        <w:spacing w:line="240" w:lineRule="auto"/>
        <w:jc w:val="both"/>
        <w:rPr>
          <w:rFonts w:ascii="Palatino Linotype" w:eastAsia="Palatino Linotype" w:hAnsi="Palatino Linotype" w:cs="Palatino Linotype"/>
          <w:b/>
          <w:sz w:val="24"/>
          <w:szCs w:val="24"/>
        </w:rPr>
      </w:pPr>
      <w:r>
        <w:rPr>
          <w:noProof/>
          <w:lang w:val="id-ID" w:eastAsia="id-ID"/>
        </w:rPr>
        <mc:AlternateContent>
          <mc:Choice Requires="wps">
            <w:drawing>
              <wp:anchor distT="0" distB="0" distL="114300" distR="114300" simplePos="0" relativeHeight="251658240" behindDoc="0" locked="0" layoutInCell="1" hidden="0" allowOverlap="1" wp14:anchorId="42A4EF92" wp14:editId="321A73EC">
                <wp:simplePos x="0" y="0"/>
                <wp:positionH relativeFrom="column">
                  <wp:posOffset>4255770</wp:posOffset>
                </wp:positionH>
                <wp:positionV relativeFrom="paragraph">
                  <wp:posOffset>-1004570</wp:posOffset>
                </wp:positionV>
                <wp:extent cx="1743075" cy="638175"/>
                <wp:effectExtent l="0" t="0" r="9525" b="9525"/>
                <wp:wrapNone/>
                <wp:docPr id="139" name="Rectangle 139"/>
                <wp:cNvGraphicFramePr/>
                <a:graphic xmlns:a="http://schemas.openxmlformats.org/drawingml/2006/main">
                  <a:graphicData uri="http://schemas.microsoft.com/office/word/2010/wordprocessingShape">
                    <wps:wsp>
                      <wps:cNvSpPr/>
                      <wps:spPr>
                        <a:xfrm>
                          <a:off x="0" y="0"/>
                          <a:ext cx="1743075" cy="638175"/>
                        </a:xfrm>
                        <a:prstGeom prst="rect">
                          <a:avLst/>
                        </a:prstGeom>
                        <a:solidFill>
                          <a:schemeClr val="lt1"/>
                        </a:solidFill>
                        <a:ln>
                          <a:noFill/>
                        </a:ln>
                      </wps:spPr>
                      <wps:txbx>
                        <w:txbxContent>
                          <w:p w14:paraId="5A58FA24" w14:textId="77777777" w:rsidR="0078495C" w:rsidRDefault="00A12A6F">
                            <w:pPr>
                              <w:spacing w:line="240" w:lineRule="auto"/>
                              <w:jc w:val="center"/>
                              <w:textDirection w:val="btLr"/>
                            </w:pPr>
                            <w:r>
                              <w:rPr>
                                <w:rFonts w:ascii="Quintessential" w:eastAsia="Quintessential" w:hAnsi="Quintessential" w:cs="Quintessential"/>
                                <w:b/>
                                <w:color w:val="000000"/>
                                <w:sz w:val="28"/>
                              </w:rPr>
                              <w:t>AL MIKRAJ</w:t>
                            </w:r>
                          </w:p>
                          <w:p w14:paraId="22812334" w14:textId="77777777" w:rsidR="0078495C" w:rsidRDefault="00A12A6F">
                            <w:pPr>
                              <w:spacing w:line="240" w:lineRule="auto"/>
                              <w:jc w:val="center"/>
                              <w:textDirection w:val="btLr"/>
                            </w:pPr>
                            <w:proofErr w:type="spellStart"/>
                            <w:r>
                              <w:rPr>
                                <w:rFonts w:ascii="Calibri" w:eastAsia="Calibri" w:hAnsi="Calibri" w:cs="Calibri"/>
                                <w:b/>
                                <w:i/>
                                <w:color w:val="000000"/>
                              </w:rPr>
                              <w:t>Jurnal</w:t>
                            </w:r>
                            <w:proofErr w:type="spellEnd"/>
                            <w:r>
                              <w:rPr>
                                <w:rFonts w:ascii="Calibri" w:eastAsia="Calibri" w:hAnsi="Calibri" w:cs="Calibri"/>
                                <w:b/>
                                <w:i/>
                                <w:color w:val="000000"/>
                              </w:rPr>
                              <w:t xml:space="preserve"> </w:t>
                            </w:r>
                            <w:proofErr w:type="spellStart"/>
                            <w:r>
                              <w:rPr>
                                <w:rFonts w:ascii="Calibri" w:eastAsia="Calibri" w:hAnsi="Calibri" w:cs="Calibri"/>
                                <w:b/>
                                <w:i/>
                                <w:color w:val="000000"/>
                              </w:rPr>
                              <w:t>Studi</w:t>
                            </w:r>
                            <w:proofErr w:type="spellEnd"/>
                            <w:r>
                              <w:rPr>
                                <w:rFonts w:ascii="Calibri" w:eastAsia="Calibri" w:hAnsi="Calibri" w:cs="Calibri"/>
                                <w:b/>
                                <w:i/>
                                <w:color w:val="000000"/>
                              </w:rPr>
                              <w:t xml:space="preserve"> Islam </w:t>
                            </w:r>
                            <w:proofErr w:type="spellStart"/>
                            <w:r>
                              <w:rPr>
                                <w:rFonts w:ascii="Calibri" w:eastAsia="Calibri" w:hAnsi="Calibri" w:cs="Calibri"/>
                                <w:b/>
                                <w:i/>
                                <w:color w:val="000000"/>
                              </w:rPr>
                              <w:t>dan</w:t>
                            </w:r>
                            <w:proofErr w:type="spellEnd"/>
                            <w:r>
                              <w:rPr>
                                <w:rFonts w:ascii="Calibri" w:eastAsia="Calibri" w:hAnsi="Calibri" w:cs="Calibri"/>
                                <w:b/>
                                <w:i/>
                                <w:color w:val="000000"/>
                              </w:rPr>
                              <w:t xml:space="preserve"> </w:t>
                            </w:r>
                            <w:proofErr w:type="spellStart"/>
                            <w:r>
                              <w:rPr>
                                <w:rFonts w:ascii="Calibri" w:eastAsia="Calibri" w:hAnsi="Calibri" w:cs="Calibri"/>
                                <w:b/>
                                <w:i/>
                                <w:color w:val="000000"/>
                              </w:rPr>
                              <w:t>Humaniora</w:t>
                            </w:r>
                            <w:proofErr w:type="spellEnd"/>
                          </w:p>
                        </w:txbxContent>
                      </wps:txbx>
                      <wps:bodyPr spcFirstLastPara="1" wrap="square" lIns="91425" tIns="45700" rIns="91425" bIns="45700"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A4EF92" id="Rectangle 139" o:spid="_x0000_s1026" style="position:absolute;left:0;text-align:left;margin-left:335.1pt;margin-top:-79.1pt;width:137.25pt;height:50.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" fillcolor="white [3201]" stroked="f">
                <v:textbox inset="2.53958mm,1.2694mm,2.53958mm,1.2694mm">
                  <w:txbxContent>
                    <w:p w14:paraId="5A58FA24" w14:textId="77777777" w:rsidR="0078495C" w:rsidRDefault="00A12A6F">
                      <w:pPr>
                        <w:spacing w:line="240" w:lineRule="auto"/>
                        <w:jc w:val="center"/>
                        <w:textDirection w:val="btLr"/>
                      </w:pPr>
                      <w:r>
                        <w:rPr>
                          <w:rFonts w:ascii="Quintessential" w:eastAsia="Quintessential" w:hAnsi="Quintessential" w:cs="Quintessential"/>
                          <w:b/>
                          <w:color w:val="000000"/>
                          <w:sz w:val="28"/>
                        </w:rPr>
                        <w:t>AL MIKRAJ</w:t>
                      </w:r>
                    </w:p>
                    <w:p w14:paraId="22812334" w14:textId="77777777" w:rsidR="0078495C" w:rsidRDefault="00A12A6F">
                      <w:pPr>
                        <w:spacing w:line="240" w:lineRule="auto"/>
                        <w:jc w:val="center"/>
                        <w:textDirection w:val="btLr"/>
                      </w:pPr>
                      <w:proofErr w:type="spellStart"/>
                      <w:r>
                        <w:rPr>
                          <w:rFonts w:ascii="Calibri" w:eastAsia="Calibri" w:hAnsi="Calibri" w:cs="Calibri"/>
                          <w:b/>
                          <w:i/>
                          <w:color w:val="000000"/>
                        </w:rPr>
                        <w:t>Jurnal</w:t>
                      </w:r>
                      <w:proofErr w:type="spellEnd"/>
                      <w:r>
                        <w:rPr>
                          <w:rFonts w:ascii="Calibri" w:eastAsia="Calibri" w:hAnsi="Calibri" w:cs="Calibri"/>
                          <w:b/>
                          <w:i/>
                          <w:color w:val="000000"/>
                        </w:rPr>
                        <w:t xml:space="preserve"> </w:t>
                      </w:r>
                      <w:proofErr w:type="spellStart"/>
                      <w:r>
                        <w:rPr>
                          <w:rFonts w:ascii="Calibri" w:eastAsia="Calibri" w:hAnsi="Calibri" w:cs="Calibri"/>
                          <w:b/>
                          <w:i/>
                          <w:color w:val="000000"/>
                        </w:rPr>
                        <w:t>Studi</w:t>
                      </w:r>
                      <w:proofErr w:type="spellEnd"/>
                      <w:r>
                        <w:rPr>
                          <w:rFonts w:ascii="Calibri" w:eastAsia="Calibri" w:hAnsi="Calibri" w:cs="Calibri"/>
                          <w:b/>
                          <w:i/>
                          <w:color w:val="000000"/>
                        </w:rPr>
                        <w:t xml:space="preserve"> Islam dan </w:t>
                      </w:r>
                      <w:proofErr w:type="spellStart"/>
                      <w:r>
                        <w:rPr>
                          <w:rFonts w:ascii="Calibri" w:eastAsia="Calibri" w:hAnsi="Calibri" w:cs="Calibri"/>
                          <w:b/>
                          <w:i/>
                          <w:color w:val="000000"/>
                        </w:rPr>
                        <w:t>Humaniora</w:t>
                      </w:r>
                      <w:proofErr w:type="spellEnd"/>
                    </w:p>
                  </w:txbxContent>
                </v:textbox>
              </v:rect>
            </w:pict>
          </mc:Fallback>
        </mc:AlternateContent>
      </w:r>
    </w:p>
    <w:p w14:paraId="08D70B85" w14:textId="2A8FEF92" w:rsidR="00C86BE4" w:rsidRDefault="00CF319A">
      <w:pPr>
        <w:tabs>
          <w:tab w:val="left" w:pos="5630"/>
        </w:tabs>
        <w:spacing w:line="240" w:lineRule="auto"/>
        <w:jc w:val="both"/>
        <w:rPr>
          <w:rFonts w:ascii="Palatino Linotype" w:eastAsia="Palatino Linotype" w:hAnsi="Palatino Linotype" w:cs="Palatino Linotype"/>
          <w:b/>
          <w:sz w:val="28"/>
          <w:szCs w:val="28"/>
        </w:rPr>
      </w:pPr>
      <w:proofErr w:type="spellStart"/>
      <w:r w:rsidRPr="00CF319A">
        <w:rPr>
          <w:rFonts w:ascii="Palatino Linotype" w:eastAsia="Palatino Linotype" w:hAnsi="Palatino Linotype" w:cs="Palatino Linotype"/>
          <w:b/>
          <w:sz w:val="28"/>
          <w:szCs w:val="28"/>
        </w:rPr>
        <w:t>Relevansi</w:t>
      </w:r>
      <w:proofErr w:type="spellEnd"/>
      <w:r w:rsidRPr="00CF319A">
        <w:rPr>
          <w:rFonts w:ascii="Palatino Linotype" w:eastAsia="Palatino Linotype" w:hAnsi="Palatino Linotype" w:cs="Palatino Linotype"/>
          <w:b/>
          <w:sz w:val="28"/>
          <w:szCs w:val="28"/>
        </w:rPr>
        <w:t xml:space="preserve"> </w:t>
      </w:r>
      <w:proofErr w:type="spellStart"/>
      <w:r w:rsidRPr="00CF319A">
        <w:rPr>
          <w:rFonts w:ascii="Palatino Linotype" w:eastAsia="Palatino Linotype" w:hAnsi="Palatino Linotype" w:cs="Palatino Linotype"/>
          <w:b/>
          <w:sz w:val="28"/>
          <w:szCs w:val="28"/>
        </w:rPr>
        <w:t>Tujuan</w:t>
      </w:r>
      <w:proofErr w:type="spellEnd"/>
      <w:r w:rsidRPr="00CF319A">
        <w:rPr>
          <w:rFonts w:ascii="Palatino Linotype" w:eastAsia="Palatino Linotype" w:hAnsi="Palatino Linotype" w:cs="Palatino Linotype"/>
          <w:b/>
          <w:sz w:val="28"/>
          <w:szCs w:val="28"/>
        </w:rPr>
        <w:t xml:space="preserve"> Dan </w:t>
      </w:r>
      <w:proofErr w:type="spellStart"/>
      <w:r w:rsidRPr="00CF319A">
        <w:rPr>
          <w:rFonts w:ascii="Palatino Linotype" w:eastAsia="Palatino Linotype" w:hAnsi="Palatino Linotype" w:cs="Palatino Linotype"/>
          <w:b/>
          <w:sz w:val="28"/>
          <w:szCs w:val="28"/>
        </w:rPr>
        <w:t>Materi</w:t>
      </w:r>
      <w:proofErr w:type="spellEnd"/>
      <w:r w:rsidRPr="00CF319A">
        <w:rPr>
          <w:rFonts w:ascii="Palatino Linotype" w:eastAsia="Palatino Linotype" w:hAnsi="Palatino Linotype" w:cs="Palatino Linotype"/>
          <w:b/>
          <w:sz w:val="28"/>
          <w:szCs w:val="28"/>
        </w:rPr>
        <w:t xml:space="preserve"> </w:t>
      </w:r>
      <w:proofErr w:type="spellStart"/>
      <w:r w:rsidRPr="00CF319A">
        <w:rPr>
          <w:rFonts w:ascii="Palatino Linotype" w:eastAsia="Palatino Linotype" w:hAnsi="Palatino Linotype" w:cs="Palatino Linotype"/>
          <w:b/>
          <w:sz w:val="28"/>
          <w:szCs w:val="28"/>
        </w:rPr>
        <w:t>Dalam</w:t>
      </w:r>
      <w:proofErr w:type="spellEnd"/>
      <w:r w:rsidRPr="00CF319A">
        <w:rPr>
          <w:rFonts w:ascii="Palatino Linotype" w:eastAsia="Palatino Linotype" w:hAnsi="Palatino Linotype" w:cs="Palatino Linotype"/>
          <w:b/>
          <w:sz w:val="28"/>
          <w:szCs w:val="28"/>
        </w:rPr>
        <w:t xml:space="preserve"> </w:t>
      </w:r>
      <w:proofErr w:type="spellStart"/>
      <w:r w:rsidRPr="00CF319A">
        <w:rPr>
          <w:rFonts w:ascii="Palatino Linotype" w:eastAsia="Palatino Linotype" w:hAnsi="Palatino Linotype" w:cs="Palatino Linotype"/>
          <w:b/>
          <w:sz w:val="28"/>
          <w:szCs w:val="28"/>
        </w:rPr>
        <w:t>Diklat</w:t>
      </w:r>
      <w:proofErr w:type="spellEnd"/>
      <w:r w:rsidRPr="00CF319A">
        <w:rPr>
          <w:rFonts w:ascii="Palatino Linotype" w:eastAsia="Palatino Linotype" w:hAnsi="Palatino Linotype" w:cs="Palatino Linotype"/>
          <w:b/>
          <w:sz w:val="28"/>
          <w:szCs w:val="28"/>
        </w:rPr>
        <w:t xml:space="preserve"> Guru Di SMP </w:t>
      </w:r>
      <w:proofErr w:type="spellStart"/>
      <w:r w:rsidRPr="00CF319A">
        <w:rPr>
          <w:rFonts w:ascii="Palatino Linotype" w:eastAsia="Palatino Linotype" w:hAnsi="Palatino Linotype" w:cs="Palatino Linotype"/>
          <w:b/>
          <w:sz w:val="28"/>
          <w:szCs w:val="28"/>
        </w:rPr>
        <w:t>Negeri</w:t>
      </w:r>
      <w:proofErr w:type="spellEnd"/>
      <w:r w:rsidRPr="00CF319A">
        <w:rPr>
          <w:rFonts w:ascii="Palatino Linotype" w:eastAsia="Palatino Linotype" w:hAnsi="Palatino Linotype" w:cs="Palatino Linotype"/>
          <w:b/>
          <w:sz w:val="28"/>
          <w:szCs w:val="28"/>
        </w:rPr>
        <w:t xml:space="preserve"> 2 </w:t>
      </w:r>
      <w:proofErr w:type="spellStart"/>
      <w:r w:rsidRPr="00CF319A">
        <w:rPr>
          <w:rFonts w:ascii="Palatino Linotype" w:eastAsia="Palatino Linotype" w:hAnsi="Palatino Linotype" w:cs="Palatino Linotype"/>
          <w:b/>
          <w:sz w:val="28"/>
          <w:szCs w:val="28"/>
        </w:rPr>
        <w:t>Batu</w:t>
      </w:r>
      <w:proofErr w:type="spellEnd"/>
      <w:r w:rsidRPr="00CF319A">
        <w:rPr>
          <w:rFonts w:ascii="Palatino Linotype" w:eastAsia="Palatino Linotype" w:hAnsi="Palatino Linotype" w:cs="Palatino Linotype"/>
          <w:b/>
          <w:sz w:val="28"/>
          <w:szCs w:val="28"/>
        </w:rPr>
        <w:t xml:space="preserve"> </w:t>
      </w:r>
      <w:proofErr w:type="spellStart"/>
      <w:r w:rsidRPr="00CF319A">
        <w:rPr>
          <w:rFonts w:ascii="Palatino Linotype" w:eastAsia="Palatino Linotype" w:hAnsi="Palatino Linotype" w:cs="Palatino Linotype"/>
          <w:b/>
          <w:sz w:val="28"/>
          <w:szCs w:val="28"/>
        </w:rPr>
        <w:t>Belah</w:t>
      </w:r>
      <w:proofErr w:type="spellEnd"/>
    </w:p>
    <w:p w14:paraId="109D8BD1" w14:textId="77777777" w:rsidR="00B21F3B" w:rsidRDefault="00B21F3B">
      <w:pPr>
        <w:tabs>
          <w:tab w:val="left" w:pos="5630"/>
        </w:tabs>
        <w:spacing w:line="240" w:lineRule="auto"/>
        <w:jc w:val="both"/>
        <w:rPr>
          <w:rFonts w:ascii="Palatino Linotype" w:eastAsia="Palatino Linotype" w:hAnsi="Palatino Linotype" w:cs="Palatino Linotype"/>
          <w:b/>
          <w:i/>
          <w:sz w:val="24"/>
          <w:szCs w:val="24"/>
        </w:rPr>
      </w:pPr>
    </w:p>
    <w:p w14:paraId="019480B0" w14:textId="5167DDBF" w:rsidR="0078495C" w:rsidRPr="00DA157D" w:rsidRDefault="00CF319A">
      <w:pPr>
        <w:spacing w:line="240" w:lineRule="auto"/>
        <w:rPr>
          <w:rFonts w:ascii="Palatino Linotype" w:eastAsia="Palatino Linotype" w:hAnsi="Palatino Linotype" w:cs="Palatino Linotype"/>
          <w:b/>
          <w:sz w:val="22"/>
          <w:szCs w:val="22"/>
        </w:rPr>
      </w:pPr>
      <w:r w:rsidRPr="00CF319A">
        <w:rPr>
          <w:rFonts w:ascii="Palatino Linotype" w:eastAsia="Palatino Linotype" w:hAnsi="Palatino Linotype" w:cs="Palatino Linotype"/>
          <w:b/>
          <w:sz w:val="22"/>
          <w:szCs w:val="22"/>
        </w:rPr>
        <w:t>Dahrani</w:t>
      </w:r>
      <w:r w:rsidR="00DA157D">
        <w:rPr>
          <w:rFonts w:ascii="Palatino Linotype" w:eastAsia="Palatino Linotype" w:hAnsi="Palatino Linotype" w:cs="Palatino Linotype"/>
          <w:b/>
          <w:sz w:val="22"/>
          <w:szCs w:val="22"/>
          <w:vertAlign w:val="superscript"/>
        </w:rPr>
        <w:t>1</w:t>
      </w:r>
      <w:r w:rsidR="00DA157D">
        <w:rPr>
          <w:rFonts w:ascii="Palatino Linotype" w:eastAsia="Palatino Linotype" w:hAnsi="Palatino Linotype" w:cs="Palatino Linotype"/>
          <w:b/>
          <w:sz w:val="22"/>
          <w:szCs w:val="22"/>
        </w:rPr>
        <w:t xml:space="preserve">, </w:t>
      </w:r>
      <w:proofErr w:type="spellStart"/>
      <w:r w:rsidRPr="00CF319A">
        <w:rPr>
          <w:rFonts w:ascii="Palatino Linotype" w:eastAsia="Palatino Linotype" w:hAnsi="Palatino Linotype" w:cs="Palatino Linotype"/>
          <w:b/>
          <w:sz w:val="22"/>
          <w:szCs w:val="22"/>
        </w:rPr>
        <w:t>Aminudin</w:t>
      </w:r>
      <w:proofErr w:type="spellEnd"/>
      <w:r w:rsidRPr="00CF319A">
        <w:rPr>
          <w:rFonts w:ascii="Palatino Linotype" w:eastAsia="Palatino Linotype" w:hAnsi="Palatino Linotype" w:cs="Palatino Linotype"/>
          <w:b/>
          <w:sz w:val="22"/>
          <w:szCs w:val="22"/>
        </w:rPr>
        <w:t xml:space="preserve"> </w:t>
      </w:r>
      <w:proofErr w:type="spellStart"/>
      <w:r w:rsidRPr="00CF319A">
        <w:rPr>
          <w:rFonts w:ascii="Palatino Linotype" w:eastAsia="Palatino Linotype" w:hAnsi="Palatino Linotype" w:cs="Palatino Linotype"/>
          <w:b/>
          <w:sz w:val="22"/>
          <w:szCs w:val="22"/>
        </w:rPr>
        <w:t>busra</w:t>
      </w:r>
      <w:proofErr w:type="spellEnd"/>
      <w:r w:rsidR="00E41D89" w:rsidRPr="00E41D89">
        <w:rPr>
          <w:rFonts w:ascii="Palatino Linotype" w:eastAsia="Palatino Linotype" w:hAnsi="Palatino Linotype" w:cs="Palatino Linotype"/>
          <w:b/>
          <w:sz w:val="22"/>
          <w:szCs w:val="22"/>
        </w:rPr>
        <w:t xml:space="preserve"> </w:t>
      </w:r>
      <w:r w:rsidR="00DA157D">
        <w:rPr>
          <w:rFonts w:ascii="Palatino Linotype" w:eastAsia="Palatino Linotype" w:hAnsi="Palatino Linotype" w:cs="Palatino Linotype"/>
          <w:b/>
          <w:sz w:val="22"/>
          <w:szCs w:val="22"/>
          <w:vertAlign w:val="superscript"/>
        </w:rPr>
        <w:t>2</w:t>
      </w:r>
      <w:r w:rsidR="00DA157D">
        <w:rPr>
          <w:rFonts w:ascii="Palatino Linotype" w:eastAsia="Palatino Linotype" w:hAnsi="Palatino Linotype" w:cs="Palatino Linotype"/>
          <w:b/>
          <w:sz w:val="22"/>
          <w:szCs w:val="22"/>
        </w:rPr>
        <w:t>,</w:t>
      </w:r>
      <w:r w:rsidRPr="00CF319A">
        <w:t xml:space="preserve"> </w:t>
      </w:r>
      <w:proofErr w:type="gramStart"/>
      <w:r w:rsidRPr="00CF319A">
        <w:rPr>
          <w:rFonts w:ascii="Palatino Linotype" w:eastAsia="Palatino Linotype" w:hAnsi="Palatino Linotype" w:cs="Palatino Linotype"/>
          <w:b/>
          <w:sz w:val="22"/>
          <w:szCs w:val="22"/>
        </w:rPr>
        <w:t>Rizadiliyawati</w:t>
      </w:r>
      <w:r w:rsidR="00DA157D">
        <w:rPr>
          <w:rFonts w:ascii="Palatino Linotype" w:eastAsia="Palatino Linotype" w:hAnsi="Palatino Linotype" w:cs="Palatino Linotype"/>
          <w:b/>
          <w:sz w:val="22"/>
          <w:szCs w:val="22"/>
          <w:vertAlign w:val="superscript"/>
        </w:rPr>
        <w:t xml:space="preserve">3 </w:t>
      </w:r>
      <w:r w:rsidR="00DA157D">
        <w:rPr>
          <w:rFonts w:ascii="Palatino Linotype" w:eastAsia="Palatino Linotype" w:hAnsi="Palatino Linotype" w:cs="Palatino Linotype"/>
          <w:b/>
          <w:sz w:val="22"/>
          <w:szCs w:val="22"/>
        </w:rPr>
        <w:t>,</w:t>
      </w:r>
      <w:proofErr w:type="gramEnd"/>
      <w:r w:rsidR="00DA157D">
        <w:rPr>
          <w:rFonts w:ascii="Palatino Linotype" w:eastAsia="Palatino Linotype" w:hAnsi="Palatino Linotype" w:cs="Palatino Linotype"/>
          <w:b/>
          <w:sz w:val="22"/>
          <w:szCs w:val="22"/>
        </w:rPr>
        <w:t xml:space="preserve"> </w:t>
      </w:r>
      <w:proofErr w:type="spellStart"/>
      <w:r w:rsidRPr="00CF319A">
        <w:rPr>
          <w:rFonts w:ascii="Palatino Linotype" w:eastAsia="Palatino Linotype" w:hAnsi="Palatino Linotype" w:cs="Palatino Linotype"/>
          <w:b/>
          <w:sz w:val="22"/>
          <w:szCs w:val="22"/>
        </w:rPr>
        <w:t>Afriza</w:t>
      </w:r>
      <w:proofErr w:type="spellEnd"/>
      <w:r w:rsidR="00E41D89" w:rsidRPr="00E41D89">
        <w:rPr>
          <w:rFonts w:ascii="Palatino Linotype" w:eastAsia="Palatino Linotype" w:hAnsi="Palatino Linotype" w:cs="Palatino Linotype"/>
          <w:b/>
          <w:sz w:val="22"/>
          <w:szCs w:val="22"/>
        </w:rPr>
        <w:t xml:space="preserve"> </w:t>
      </w:r>
      <w:r w:rsidR="00B21F3B" w:rsidRPr="00B21F3B">
        <w:rPr>
          <w:rFonts w:ascii="Palatino Linotype" w:eastAsia="Palatino Linotype" w:hAnsi="Palatino Linotype" w:cs="Palatino Linotype"/>
          <w:b/>
          <w:sz w:val="22"/>
          <w:szCs w:val="22"/>
          <w:vertAlign w:val="superscript"/>
        </w:rPr>
        <w:t>4</w:t>
      </w:r>
    </w:p>
    <w:p w14:paraId="391987CD" w14:textId="2F5438C3" w:rsidR="0078495C" w:rsidRDefault="00A12A6F">
      <w:pPr>
        <w:tabs>
          <w:tab w:val="left" w:pos="6080"/>
          <w:tab w:val="right" w:pos="9638"/>
        </w:tabs>
        <w:spacing w:line="240" w:lineRule="auto"/>
        <w:rPr>
          <w:rFonts w:ascii="Palatino Linotype" w:eastAsia="Palatino Linotype" w:hAnsi="Palatino Linotype" w:cs="Palatino Linotype"/>
          <w:sz w:val="22"/>
          <w:szCs w:val="22"/>
        </w:rPr>
      </w:pPr>
      <w:proofErr w:type="gramStart"/>
      <w:r>
        <w:rPr>
          <w:rFonts w:ascii="Palatino Linotype" w:eastAsia="Palatino Linotype" w:hAnsi="Palatino Linotype" w:cs="Palatino Linotype"/>
          <w:sz w:val="22"/>
          <w:szCs w:val="22"/>
          <w:vertAlign w:val="superscript"/>
        </w:rPr>
        <w:t>123</w:t>
      </w:r>
      <w:r w:rsidR="00DA157D">
        <w:rPr>
          <w:rFonts w:ascii="Palatino Linotype" w:eastAsia="Palatino Linotype" w:hAnsi="Palatino Linotype" w:cs="Palatino Linotype"/>
          <w:sz w:val="22"/>
          <w:szCs w:val="22"/>
          <w:vertAlign w:val="superscript"/>
        </w:rPr>
        <w:t>4</w:t>
      </w:r>
      <w:r w:rsidR="00135494">
        <w:rPr>
          <w:rFonts w:ascii="Palatino Linotype" w:eastAsia="Palatino Linotype" w:hAnsi="Palatino Linotype" w:cs="Palatino Linotype"/>
          <w:sz w:val="22"/>
          <w:szCs w:val="22"/>
          <w:vertAlign w:val="superscript"/>
        </w:rPr>
        <w:t xml:space="preserve"> </w:t>
      </w:r>
      <w:r w:rsidR="00DA157D">
        <w:rPr>
          <w:rFonts w:ascii="Palatino Linotype" w:eastAsia="Palatino Linotype" w:hAnsi="Palatino Linotype" w:cs="Palatino Linotype"/>
          <w:sz w:val="22"/>
          <w:szCs w:val="22"/>
          <w:vertAlign w:val="superscript"/>
        </w:rPr>
        <w:t xml:space="preserve"> </w:t>
      </w:r>
      <w:r w:rsidR="00DA157D">
        <w:rPr>
          <w:rFonts w:ascii="Palatino Linotype" w:eastAsia="Palatino Linotype" w:hAnsi="Palatino Linotype" w:cs="Palatino Linotype"/>
          <w:sz w:val="22"/>
          <w:szCs w:val="22"/>
        </w:rPr>
        <w:t>UIN</w:t>
      </w:r>
      <w:proofErr w:type="gramEnd"/>
      <w:r w:rsidR="00DA157D">
        <w:rPr>
          <w:rFonts w:ascii="Palatino Linotype" w:eastAsia="Palatino Linotype" w:hAnsi="Palatino Linotype" w:cs="Palatino Linotype"/>
          <w:sz w:val="22"/>
          <w:szCs w:val="22"/>
        </w:rPr>
        <w:t xml:space="preserve"> </w:t>
      </w:r>
      <w:r w:rsidR="00DA157D" w:rsidRPr="00DA157D">
        <w:rPr>
          <w:rFonts w:ascii="Palatino Linotype" w:eastAsia="Palatino Linotype" w:hAnsi="Palatino Linotype" w:cs="Palatino Linotype"/>
          <w:sz w:val="22"/>
          <w:szCs w:val="22"/>
        </w:rPr>
        <w:t xml:space="preserve">Sultan </w:t>
      </w:r>
      <w:proofErr w:type="spellStart"/>
      <w:r w:rsidR="00DA157D" w:rsidRPr="00DA157D">
        <w:rPr>
          <w:rFonts w:ascii="Palatino Linotype" w:eastAsia="Palatino Linotype" w:hAnsi="Palatino Linotype" w:cs="Palatino Linotype"/>
          <w:sz w:val="22"/>
          <w:szCs w:val="22"/>
        </w:rPr>
        <w:t>Syarif</w:t>
      </w:r>
      <w:proofErr w:type="spellEnd"/>
      <w:r w:rsidR="00DA157D" w:rsidRPr="00DA157D">
        <w:rPr>
          <w:rFonts w:ascii="Palatino Linotype" w:eastAsia="Palatino Linotype" w:hAnsi="Palatino Linotype" w:cs="Palatino Linotype"/>
          <w:sz w:val="22"/>
          <w:szCs w:val="22"/>
        </w:rPr>
        <w:t xml:space="preserve"> </w:t>
      </w:r>
      <w:proofErr w:type="spellStart"/>
      <w:r w:rsidR="00DA157D" w:rsidRPr="00DA157D">
        <w:rPr>
          <w:rFonts w:ascii="Palatino Linotype" w:eastAsia="Palatino Linotype" w:hAnsi="Palatino Linotype" w:cs="Palatino Linotype"/>
          <w:sz w:val="22"/>
          <w:szCs w:val="22"/>
        </w:rPr>
        <w:t>Kasim</w:t>
      </w:r>
      <w:proofErr w:type="spellEnd"/>
      <w:r w:rsidR="00135494" w:rsidRPr="00135494">
        <w:rPr>
          <w:rFonts w:ascii="Palatino Linotype" w:eastAsia="Palatino Linotype" w:hAnsi="Palatino Linotype" w:cs="Palatino Linotype"/>
          <w:sz w:val="22"/>
          <w:szCs w:val="22"/>
        </w:rPr>
        <w:t>, Indonesia</w:t>
      </w:r>
      <w:r>
        <w:rPr>
          <w:rFonts w:ascii="Palatino Linotype" w:eastAsia="Palatino Linotype" w:hAnsi="Palatino Linotype" w:cs="Palatino Linotype"/>
          <w:sz w:val="22"/>
          <w:szCs w:val="22"/>
        </w:rPr>
        <w:tab/>
      </w:r>
      <w:r>
        <w:rPr>
          <w:rFonts w:ascii="Palatino Linotype" w:eastAsia="Palatino Linotype" w:hAnsi="Palatino Linotype" w:cs="Palatino Linotype"/>
          <w:sz w:val="22"/>
          <w:szCs w:val="22"/>
        </w:rPr>
        <w:tab/>
      </w:r>
    </w:p>
    <w:p w14:paraId="237B8F3A" w14:textId="239FBCCB" w:rsidR="0078495C" w:rsidRPr="00F7754C" w:rsidRDefault="00A12A6F">
      <w:pPr>
        <w:spacing w:line="240" w:lineRule="auto"/>
        <w:rPr>
          <w:rFonts w:ascii="Palatino Linotype" w:eastAsia="Palatino Linotype" w:hAnsi="Palatino Linotype" w:cs="Palatino Linotype"/>
          <w:sz w:val="22"/>
          <w:szCs w:val="22"/>
        </w:rPr>
      </w:pPr>
      <w:proofErr w:type="gramStart"/>
      <w:r>
        <w:rPr>
          <w:rFonts w:ascii="Palatino Linotype" w:eastAsia="Palatino Linotype" w:hAnsi="Palatino Linotype" w:cs="Palatino Linotype"/>
          <w:sz w:val="22"/>
          <w:szCs w:val="22"/>
        </w:rPr>
        <w:t>correspondence</w:t>
      </w:r>
      <w:proofErr w:type="gramEnd"/>
      <w:r>
        <w:rPr>
          <w:rFonts w:ascii="Palatino Linotype" w:eastAsia="Palatino Linotype" w:hAnsi="Palatino Linotype" w:cs="Palatino Linotype"/>
          <w:sz w:val="22"/>
          <w:szCs w:val="22"/>
        </w:rPr>
        <w:t xml:space="preserve"> e-mail</w:t>
      </w:r>
      <w:r w:rsidRPr="00E41D89">
        <w:rPr>
          <w:rFonts w:ascii="Palatino Linotype" w:eastAsia="Palatino Linotype" w:hAnsi="Palatino Linotype" w:cs="Palatino Linotype"/>
          <w:sz w:val="22"/>
          <w:szCs w:val="22"/>
        </w:rPr>
        <w:t xml:space="preserve">*, </w:t>
      </w:r>
      <w:hyperlink r:id="rId10" w:history="1">
        <w:r w:rsidR="00F7754C" w:rsidRPr="002E7688">
          <w:rPr>
            <w:rStyle w:val="Hyperlink"/>
            <w:rFonts w:ascii="Palatino Linotype" w:hAnsi="Palatino Linotype"/>
            <w:sz w:val="22"/>
            <w:szCs w:val="22"/>
          </w:rPr>
          <w:t>dahrani080808@gmail.com</w:t>
        </w:r>
      </w:hyperlink>
      <w:r w:rsidR="00F7754C">
        <w:rPr>
          <w:rFonts w:ascii="Palatino Linotype" w:hAnsi="Palatino Linotype"/>
          <w:sz w:val="22"/>
          <w:szCs w:val="22"/>
        </w:rPr>
        <w:t xml:space="preserve">, </w:t>
      </w:r>
      <w:r w:rsidR="00F7754C" w:rsidRPr="00F7754C">
        <w:rPr>
          <w:rFonts w:ascii="Palatino Linotype" w:hAnsi="Palatino Linotype"/>
          <w:sz w:val="22"/>
          <w:szCs w:val="22"/>
        </w:rPr>
        <w:t xml:space="preserve">zahiratulqolbo@gmail.com </w:t>
      </w:r>
      <w:r w:rsidR="00F7754C">
        <w:rPr>
          <w:rFonts w:ascii="Palatino Linotype" w:hAnsi="Palatino Linotype"/>
          <w:sz w:val="22"/>
          <w:szCs w:val="22"/>
        </w:rPr>
        <w:t xml:space="preserve">, </w:t>
      </w:r>
      <w:hyperlink r:id="rId11" w:history="1">
        <w:r w:rsidR="00F7754C" w:rsidRPr="002E7688">
          <w:rPr>
            <w:rStyle w:val="Hyperlink"/>
            <w:rFonts w:ascii="Palatino Linotype" w:hAnsi="Palatino Linotype"/>
            <w:sz w:val="22"/>
            <w:szCs w:val="22"/>
          </w:rPr>
          <w:t>rizadiliyawati@gmail.com</w:t>
        </w:r>
      </w:hyperlink>
      <w:r w:rsidR="00F7754C">
        <w:rPr>
          <w:rFonts w:ascii="Palatino Linotype" w:hAnsi="Palatino Linotype"/>
          <w:sz w:val="22"/>
          <w:szCs w:val="22"/>
        </w:rPr>
        <w:t xml:space="preserve">, </w:t>
      </w:r>
      <w:r w:rsidR="00F7754C" w:rsidRPr="00F7754C">
        <w:rPr>
          <w:rFonts w:ascii="Palatino Linotype" w:hAnsi="Palatino Linotype"/>
          <w:sz w:val="22"/>
          <w:szCs w:val="22"/>
        </w:rPr>
        <w:t>afriza@uin-suska.ac.id</w:t>
      </w:r>
    </w:p>
    <w:p w14:paraId="724924ED" w14:textId="77777777" w:rsidR="00B21F3B" w:rsidRPr="00E41D89" w:rsidRDefault="00B21F3B">
      <w:pPr>
        <w:spacing w:line="240" w:lineRule="auto"/>
        <w:rPr>
          <w:rFonts w:ascii="Palatino Linotype" w:eastAsia="Palatino Linotype" w:hAnsi="Palatino Linotype" w:cs="Palatino Linotype"/>
          <w:sz w:val="22"/>
          <w:szCs w:val="22"/>
          <w:vertAlign w:val="superscript"/>
        </w:rPr>
      </w:pPr>
    </w:p>
    <w:tbl>
      <w:tblPr>
        <w:tblStyle w:val="a4"/>
        <w:tblW w:w="9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2"/>
        <w:gridCol w:w="280"/>
        <w:gridCol w:w="7053"/>
      </w:tblGrid>
      <w:tr w:rsidR="00865A94" w14:paraId="6F2744B4" w14:textId="77777777">
        <w:trPr>
          <w:trHeight w:val="368"/>
          <w:jc w:val="center"/>
        </w:trPr>
        <w:tc>
          <w:tcPr>
            <w:tcW w:w="1832" w:type="dxa"/>
            <w:tcBorders>
              <w:top w:val="nil"/>
              <w:left w:val="nil"/>
              <w:bottom w:val="single" w:sz="4" w:space="0" w:color="000000"/>
              <w:right w:val="nil"/>
            </w:tcBorders>
            <w:shd w:val="clear" w:color="auto" w:fill="auto"/>
          </w:tcPr>
          <w:p w14:paraId="7F78314F" w14:textId="77777777" w:rsidR="00865A94" w:rsidRDefault="00865A94" w:rsidP="00865A94">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b/>
                <w:color w:val="000000"/>
                <w:sz w:val="20"/>
              </w:rPr>
            </w:pPr>
            <w:r>
              <w:rPr>
                <w:rFonts w:ascii="Palatino Linotype" w:eastAsia="Palatino Linotype" w:hAnsi="Palatino Linotype" w:cs="Palatino Linotype"/>
                <w:sz w:val="20"/>
              </w:rPr>
              <w:t>Submitted:</w:t>
            </w:r>
          </w:p>
        </w:tc>
        <w:tc>
          <w:tcPr>
            <w:tcW w:w="280" w:type="dxa"/>
            <w:tcBorders>
              <w:top w:val="nil"/>
              <w:left w:val="nil"/>
              <w:bottom w:val="nil"/>
              <w:right w:val="nil"/>
            </w:tcBorders>
            <w:shd w:val="clear" w:color="auto" w:fill="auto"/>
          </w:tcPr>
          <w:p w14:paraId="4108B2AA" w14:textId="77777777" w:rsidR="00865A94" w:rsidRDefault="00865A94" w:rsidP="00865A94">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 w:val="20"/>
              </w:rPr>
            </w:pPr>
          </w:p>
        </w:tc>
        <w:tc>
          <w:tcPr>
            <w:tcW w:w="7053" w:type="dxa"/>
            <w:tcBorders>
              <w:top w:val="nil"/>
              <w:left w:val="nil"/>
              <w:bottom w:val="single" w:sz="4" w:space="0" w:color="000000"/>
              <w:right w:val="nil"/>
            </w:tcBorders>
            <w:shd w:val="clear" w:color="auto" w:fill="auto"/>
          </w:tcPr>
          <w:p w14:paraId="05BAED1E" w14:textId="19648681" w:rsidR="00865A94" w:rsidRDefault="00865A94" w:rsidP="00865A94">
            <w:pPr>
              <w:widowControl/>
              <w:tabs>
                <w:tab w:val="left" w:pos="2442"/>
                <w:tab w:val="left" w:pos="4549"/>
              </w:tabs>
              <w:spacing w:line="240" w:lineRule="auto"/>
              <w:jc w:val="both"/>
              <w:rPr>
                <w:rFonts w:ascii="Palatino Linotype" w:eastAsia="Palatino Linotype" w:hAnsi="Palatino Linotype" w:cs="Palatino Linotype"/>
                <w:sz w:val="20"/>
              </w:rPr>
            </w:pPr>
            <w:r>
              <w:rPr>
                <w:rFonts w:ascii="Palatino Linotype" w:eastAsia="Palatino Linotype" w:hAnsi="Palatino Linotype" w:cs="Palatino Linotype"/>
                <w:sz w:val="20"/>
              </w:rPr>
              <w:t>Revised: 2024/09/01;</w:t>
            </w:r>
            <w:r>
              <w:rPr>
                <w:rFonts w:ascii="Palatino Linotype" w:eastAsia="Palatino Linotype" w:hAnsi="Palatino Linotype" w:cs="Palatino Linotype"/>
                <w:sz w:val="20"/>
              </w:rPr>
              <w:tab/>
              <w:t>Accepted: 2024/10/11;</w:t>
            </w:r>
            <w:r>
              <w:rPr>
                <w:rFonts w:ascii="Palatino Linotype" w:eastAsia="Palatino Linotype" w:hAnsi="Palatino Linotype" w:cs="Palatino Linotype"/>
                <w:sz w:val="20"/>
              </w:rPr>
              <w:tab/>
              <w:t>Published: 2024/12/31</w:t>
            </w:r>
          </w:p>
        </w:tc>
      </w:tr>
      <w:tr w:rsidR="00865A94" w14:paraId="486D5991" w14:textId="77777777">
        <w:trPr>
          <w:trHeight w:val="2686"/>
          <w:jc w:val="center"/>
        </w:trPr>
        <w:tc>
          <w:tcPr>
            <w:tcW w:w="1832" w:type="dxa"/>
            <w:tcBorders>
              <w:top w:val="single" w:sz="4" w:space="0" w:color="000000"/>
              <w:left w:val="nil"/>
              <w:bottom w:val="single" w:sz="4" w:space="0" w:color="000000"/>
              <w:right w:val="nil"/>
            </w:tcBorders>
            <w:shd w:val="clear" w:color="auto" w:fill="auto"/>
          </w:tcPr>
          <w:p w14:paraId="50839F0E" w14:textId="77777777" w:rsidR="00865A94" w:rsidRDefault="00865A94" w:rsidP="00865A94">
            <w:pPr>
              <w:widowControl/>
              <w:spacing w:line="240" w:lineRule="auto"/>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20"/>
              </w:rPr>
              <w:t>Abstract</w:t>
            </w:r>
          </w:p>
          <w:p w14:paraId="6479CB0E" w14:textId="77777777" w:rsidR="00865A94" w:rsidRDefault="00865A94" w:rsidP="00865A94">
            <w:pPr>
              <w:widowControl/>
              <w:spacing w:after="160" w:line="259" w:lineRule="auto"/>
              <w:rPr>
                <w:rFonts w:ascii="Palatino Linotype" w:eastAsia="Palatino Linotype" w:hAnsi="Palatino Linotype" w:cs="Palatino Linotype"/>
                <w:sz w:val="22"/>
                <w:szCs w:val="22"/>
              </w:rPr>
            </w:pPr>
          </w:p>
          <w:p w14:paraId="2F6FB24D" w14:textId="77777777" w:rsidR="00865A94" w:rsidRDefault="00865A94" w:rsidP="00865A94">
            <w:pPr>
              <w:widowControl/>
              <w:spacing w:after="160" w:line="259" w:lineRule="auto"/>
              <w:rPr>
                <w:rFonts w:ascii="Palatino Linotype" w:eastAsia="Palatino Linotype" w:hAnsi="Palatino Linotype" w:cs="Palatino Linotype"/>
                <w:sz w:val="22"/>
                <w:szCs w:val="22"/>
              </w:rPr>
            </w:pPr>
          </w:p>
          <w:p w14:paraId="6B18021F" w14:textId="77777777" w:rsidR="00865A94" w:rsidRDefault="00865A94" w:rsidP="00865A94">
            <w:pPr>
              <w:widowControl/>
              <w:spacing w:after="160" w:line="259" w:lineRule="auto"/>
              <w:rPr>
                <w:rFonts w:ascii="Palatino Linotype" w:eastAsia="Palatino Linotype" w:hAnsi="Palatino Linotype" w:cs="Palatino Linotype"/>
                <w:sz w:val="22"/>
                <w:szCs w:val="22"/>
              </w:rPr>
            </w:pPr>
          </w:p>
          <w:p w14:paraId="13164A6A" w14:textId="77777777" w:rsidR="00865A94" w:rsidRDefault="00865A94" w:rsidP="00865A94">
            <w:pPr>
              <w:widowControl/>
              <w:spacing w:after="160" w:line="259" w:lineRule="auto"/>
              <w:rPr>
                <w:rFonts w:ascii="Palatino Linotype" w:eastAsia="Palatino Linotype" w:hAnsi="Palatino Linotype" w:cs="Palatino Linotype"/>
                <w:sz w:val="22"/>
                <w:szCs w:val="22"/>
              </w:rPr>
            </w:pPr>
          </w:p>
          <w:p w14:paraId="59316E64" w14:textId="77777777" w:rsidR="00865A94" w:rsidRDefault="00865A94" w:rsidP="00865A94">
            <w:pPr>
              <w:widowControl/>
              <w:spacing w:after="160" w:line="259" w:lineRule="auto"/>
              <w:rPr>
                <w:rFonts w:ascii="Palatino Linotype" w:eastAsia="Palatino Linotype" w:hAnsi="Palatino Linotype" w:cs="Palatino Linotype"/>
                <w:sz w:val="22"/>
                <w:szCs w:val="22"/>
              </w:rPr>
            </w:pPr>
          </w:p>
        </w:tc>
        <w:tc>
          <w:tcPr>
            <w:tcW w:w="280" w:type="dxa"/>
            <w:tcBorders>
              <w:top w:val="nil"/>
              <w:left w:val="nil"/>
              <w:bottom w:val="nil"/>
              <w:right w:val="nil"/>
            </w:tcBorders>
            <w:shd w:val="clear" w:color="auto" w:fill="auto"/>
          </w:tcPr>
          <w:p w14:paraId="5864E0C5" w14:textId="77777777" w:rsidR="00865A94" w:rsidRDefault="00865A94" w:rsidP="00865A94">
            <w:pPr>
              <w:widowControl/>
              <w:spacing w:before="120" w:line="240" w:lineRule="auto"/>
              <w:jc w:val="both"/>
              <w:rPr>
                <w:rFonts w:ascii="Palatino Linotype" w:eastAsia="Palatino Linotype" w:hAnsi="Palatino Linotype" w:cs="Palatino Linotype"/>
                <w:sz w:val="18"/>
                <w:szCs w:val="18"/>
              </w:rPr>
            </w:pPr>
          </w:p>
        </w:tc>
        <w:tc>
          <w:tcPr>
            <w:tcW w:w="7053" w:type="dxa"/>
            <w:tcBorders>
              <w:top w:val="single" w:sz="4" w:space="0" w:color="000000"/>
              <w:left w:val="nil"/>
              <w:right w:val="nil"/>
            </w:tcBorders>
            <w:shd w:val="clear" w:color="auto" w:fill="auto"/>
          </w:tcPr>
          <w:p w14:paraId="310FDBBB" w14:textId="06C384D4" w:rsidR="00865A94" w:rsidRDefault="00865A94" w:rsidP="00865A94">
            <w:pPr>
              <w:widowControl/>
              <w:spacing w:line="240" w:lineRule="auto"/>
              <w:ind w:right="-12"/>
              <w:jc w:val="both"/>
              <w:rPr>
                <w:rFonts w:ascii="Palatino Linotype" w:eastAsia="Palatino Linotype" w:hAnsi="Palatino Linotype" w:cs="Palatino Linotype"/>
                <w:color w:val="000000"/>
                <w:sz w:val="24"/>
                <w:szCs w:val="24"/>
              </w:rPr>
            </w:pPr>
            <w:r w:rsidRPr="00F7754C">
              <w:rPr>
                <w:rFonts w:ascii="Palatino Linotype" w:eastAsia="Palatino Linotype" w:hAnsi="Palatino Linotype" w:cs="Palatino Linotype"/>
                <w:sz w:val="20"/>
              </w:rPr>
              <w:t xml:space="preserve">Education is a major pillar in the development of a country, and the quality of education in Indonesia is highly dependent on teacher competence. This study </w:t>
            </w:r>
            <w:proofErr w:type="spellStart"/>
            <w:r w:rsidRPr="00F7754C">
              <w:rPr>
                <w:rFonts w:ascii="Palatino Linotype" w:eastAsia="Palatino Linotype" w:hAnsi="Palatino Linotype" w:cs="Palatino Linotype"/>
                <w:sz w:val="20"/>
              </w:rPr>
              <w:t>analyzes</w:t>
            </w:r>
            <w:proofErr w:type="spellEnd"/>
            <w:r w:rsidRPr="00F7754C">
              <w:rPr>
                <w:rFonts w:ascii="Palatino Linotype" w:eastAsia="Palatino Linotype" w:hAnsi="Palatino Linotype" w:cs="Palatino Linotype"/>
                <w:sz w:val="20"/>
              </w:rPr>
              <w:t xml:space="preserve"> the relevance of objectives and materials in teacher education and training (</w:t>
            </w:r>
            <w:proofErr w:type="spellStart"/>
            <w:r w:rsidRPr="00F7754C">
              <w:rPr>
                <w:rFonts w:ascii="Palatino Linotype" w:eastAsia="Palatino Linotype" w:hAnsi="Palatino Linotype" w:cs="Palatino Linotype"/>
                <w:sz w:val="20"/>
              </w:rPr>
              <w:t>diklat</w:t>
            </w:r>
            <w:proofErr w:type="spellEnd"/>
            <w:r w:rsidRPr="00F7754C">
              <w:rPr>
                <w:rFonts w:ascii="Palatino Linotype" w:eastAsia="Palatino Linotype" w:hAnsi="Palatino Linotype" w:cs="Palatino Linotype"/>
                <w:sz w:val="20"/>
              </w:rPr>
              <w:t>) programs at SMP Negeri 2 Batu Belah. Using a qualitative approach and case study design, data were collected through in-depth interviews, observations, and document analysis. The results of the study indicate that although the training program has benefits in improving teacher competence, there are significant challenges, such as the inconsistency of the materials with practical needs in the field and the lack of training in the use of digital technology. In addition, theoretical training materials provide less opportunity for teachers to develop practical skills. This study recommends the need for updating training materials that are more relevant and in accordance with the specific needs of teachers, as well as improving evaluation and feedback to support the effectiveness of training programs in improving the quality of teaching in schools</w:t>
            </w:r>
          </w:p>
        </w:tc>
      </w:tr>
      <w:tr w:rsidR="00865A94" w14:paraId="412F52EC" w14:textId="77777777">
        <w:trPr>
          <w:trHeight w:val="368"/>
          <w:jc w:val="center"/>
        </w:trPr>
        <w:tc>
          <w:tcPr>
            <w:tcW w:w="1832" w:type="dxa"/>
            <w:tcBorders>
              <w:top w:val="single" w:sz="4" w:space="0" w:color="000000"/>
              <w:left w:val="nil"/>
              <w:bottom w:val="single" w:sz="4" w:space="0" w:color="000000"/>
              <w:right w:val="nil"/>
            </w:tcBorders>
            <w:shd w:val="clear" w:color="auto" w:fill="auto"/>
          </w:tcPr>
          <w:p w14:paraId="2611F834" w14:textId="77777777" w:rsidR="00865A94" w:rsidRDefault="00865A94" w:rsidP="00865A94">
            <w:pPr>
              <w:widowControl/>
              <w:spacing w:line="240" w:lineRule="auto"/>
              <w:jc w:val="both"/>
              <w:rPr>
                <w:rFonts w:ascii="Palatino Linotype" w:eastAsia="Palatino Linotype" w:hAnsi="Palatino Linotype" w:cs="Palatino Linotype"/>
                <w:b/>
                <w:i/>
                <w:sz w:val="20"/>
              </w:rPr>
            </w:pPr>
            <w:r>
              <w:rPr>
                <w:rFonts w:ascii="Palatino Linotype" w:eastAsia="Palatino Linotype" w:hAnsi="Palatino Linotype" w:cs="Palatino Linotype"/>
                <w:b/>
                <w:sz w:val="20"/>
              </w:rPr>
              <w:t>Keywords</w:t>
            </w:r>
          </w:p>
        </w:tc>
        <w:tc>
          <w:tcPr>
            <w:tcW w:w="280" w:type="dxa"/>
            <w:tcBorders>
              <w:top w:val="nil"/>
              <w:left w:val="nil"/>
              <w:bottom w:val="nil"/>
              <w:right w:val="nil"/>
            </w:tcBorders>
            <w:shd w:val="clear" w:color="auto" w:fill="auto"/>
          </w:tcPr>
          <w:p w14:paraId="1A6BA548" w14:textId="77777777" w:rsidR="00865A94" w:rsidRDefault="00865A94" w:rsidP="00865A94">
            <w:pPr>
              <w:widowControl/>
              <w:spacing w:line="240" w:lineRule="auto"/>
              <w:jc w:val="both"/>
              <w:rPr>
                <w:rFonts w:ascii="Palatino Linotype" w:eastAsia="Palatino Linotype" w:hAnsi="Palatino Linotype" w:cs="Palatino Linotype"/>
                <w:sz w:val="20"/>
              </w:rPr>
            </w:pPr>
          </w:p>
        </w:tc>
        <w:tc>
          <w:tcPr>
            <w:tcW w:w="7053" w:type="dxa"/>
            <w:tcBorders>
              <w:top w:val="nil"/>
              <w:left w:val="nil"/>
              <w:bottom w:val="single" w:sz="4" w:space="0" w:color="000000"/>
              <w:right w:val="nil"/>
            </w:tcBorders>
            <w:shd w:val="clear" w:color="auto" w:fill="auto"/>
          </w:tcPr>
          <w:p w14:paraId="2EB06C16" w14:textId="1711C85A" w:rsidR="00865A94" w:rsidRDefault="00865A94" w:rsidP="00865A94">
            <w:pPr>
              <w:widowControl/>
              <w:spacing w:after="60" w:line="240" w:lineRule="auto"/>
              <w:ind w:right="-12"/>
              <w:jc w:val="both"/>
              <w:rPr>
                <w:rFonts w:ascii="Palatino Linotype" w:eastAsia="Palatino Linotype" w:hAnsi="Palatino Linotype" w:cs="Palatino Linotype"/>
                <w:sz w:val="24"/>
                <w:szCs w:val="24"/>
              </w:rPr>
            </w:pPr>
            <w:r w:rsidRPr="00F7754C">
              <w:rPr>
                <w:rFonts w:ascii="Palatino Linotype" w:eastAsia="Palatino Linotype" w:hAnsi="Palatino Linotype" w:cs="Palatino Linotype"/>
                <w:sz w:val="20"/>
              </w:rPr>
              <w:t>Teacher Training, Teacher Competence, Education, Technology in Learning.</w:t>
            </w:r>
          </w:p>
        </w:tc>
      </w:tr>
      <w:tr w:rsidR="00865A94" w14:paraId="5E78763C" w14:textId="77777777">
        <w:trPr>
          <w:trHeight w:val="368"/>
          <w:jc w:val="center"/>
        </w:trPr>
        <w:tc>
          <w:tcPr>
            <w:tcW w:w="1832" w:type="dxa"/>
            <w:tcBorders>
              <w:top w:val="single" w:sz="4" w:space="0" w:color="000000"/>
              <w:left w:val="nil"/>
              <w:bottom w:val="single" w:sz="4" w:space="0" w:color="000000"/>
              <w:right w:val="nil"/>
            </w:tcBorders>
            <w:shd w:val="clear" w:color="auto" w:fill="auto"/>
          </w:tcPr>
          <w:p w14:paraId="4F8CF3C9" w14:textId="77777777" w:rsidR="00865A94" w:rsidRDefault="00865A94" w:rsidP="00865A94">
            <w:pPr>
              <w:widowControl/>
              <w:spacing w:line="240" w:lineRule="auto"/>
              <w:rPr>
                <w:rFonts w:ascii="Palatino Linotype" w:eastAsia="Palatino Linotype" w:hAnsi="Palatino Linotype" w:cs="Palatino Linotype"/>
                <w:b/>
                <w:sz w:val="20"/>
              </w:rPr>
            </w:pPr>
            <w:r>
              <w:rPr>
                <w:noProof/>
                <w:lang w:val="id-ID" w:eastAsia="id-ID"/>
              </w:rPr>
              <w:drawing>
                <wp:inline distT="0" distB="0" distL="0" distR="0" wp14:anchorId="054F99F4" wp14:editId="59D1C76F">
                  <wp:extent cx="842880" cy="319712"/>
                  <wp:effectExtent l="0" t="0" r="0" b="0"/>
                  <wp:docPr id="142"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2"/>
                          <a:srcRect/>
                          <a:stretch>
                            <a:fillRect/>
                          </a:stretch>
                        </pic:blipFill>
                        <pic:spPr>
                          <a:xfrm>
                            <a:off x="0" y="0"/>
                            <a:ext cx="842880" cy="319712"/>
                          </a:xfrm>
                          <a:prstGeom prst="rect">
                            <a:avLst/>
                          </a:prstGeom>
                          <a:ln/>
                        </pic:spPr>
                      </pic:pic>
                    </a:graphicData>
                  </a:graphic>
                </wp:inline>
              </w:drawing>
            </w:r>
          </w:p>
        </w:tc>
        <w:tc>
          <w:tcPr>
            <w:tcW w:w="280" w:type="dxa"/>
            <w:tcBorders>
              <w:top w:val="nil"/>
              <w:left w:val="nil"/>
              <w:bottom w:val="nil"/>
              <w:right w:val="nil"/>
            </w:tcBorders>
            <w:shd w:val="clear" w:color="auto" w:fill="auto"/>
          </w:tcPr>
          <w:p w14:paraId="6D714DDE" w14:textId="77777777" w:rsidR="00865A94" w:rsidRDefault="00865A94" w:rsidP="00865A94">
            <w:pPr>
              <w:widowControl/>
              <w:spacing w:line="240" w:lineRule="auto"/>
              <w:jc w:val="both"/>
              <w:rPr>
                <w:rFonts w:ascii="Palatino Linotype" w:eastAsia="Palatino Linotype" w:hAnsi="Palatino Linotype" w:cs="Palatino Linotype"/>
                <w:sz w:val="20"/>
              </w:rPr>
            </w:pPr>
          </w:p>
        </w:tc>
        <w:tc>
          <w:tcPr>
            <w:tcW w:w="7053" w:type="dxa"/>
            <w:tcBorders>
              <w:top w:val="single" w:sz="4" w:space="0" w:color="000000"/>
              <w:left w:val="nil"/>
              <w:bottom w:val="single" w:sz="4" w:space="0" w:color="000000"/>
              <w:right w:val="nil"/>
            </w:tcBorders>
            <w:shd w:val="clear" w:color="auto" w:fill="auto"/>
          </w:tcPr>
          <w:p w14:paraId="2EC53469" w14:textId="77777777" w:rsidR="00865A94" w:rsidRDefault="00865A94" w:rsidP="00865A94">
            <w:pPr>
              <w:spacing w:line="240" w:lineRule="auto"/>
              <w:ind w:right="-108"/>
              <w:jc w:val="both"/>
              <w:rPr>
                <w:rFonts w:ascii="Palatino Linotype" w:eastAsia="Palatino Linotype" w:hAnsi="Palatino Linotype" w:cs="Palatino Linotype"/>
                <w:sz w:val="20"/>
              </w:rPr>
            </w:pPr>
            <w:r>
              <w:rPr>
                <w:rFonts w:ascii="Cambria" w:eastAsia="Cambria" w:hAnsi="Cambria" w:cs="Cambria"/>
                <w:b/>
              </w:rPr>
              <w:t xml:space="preserve">© </w:t>
            </w:r>
            <w:r>
              <w:rPr>
                <w:rFonts w:ascii="Palatino Linotype" w:eastAsia="Palatino Linotype" w:hAnsi="Palatino Linotype" w:cs="Palatino Linotype"/>
                <w:b/>
              </w:rPr>
              <w:t>2024 by the authors</w:t>
            </w:r>
            <w:r>
              <w:rPr>
                <w:rFonts w:ascii="Palatino Linotype" w:eastAsia="Palatino Linotype" w:hAnsi="Palatino Linotype" w:cs="Palatino Linotype"/>
              </w:rPr>
              <w:t xml:space="preserve">. Submitted for possible open access publication under the terms and conditions of the Creative Commons Attribution 4.0 International (CC BY SA) license, </w:t>
            </w:r>
            <w:hyperlink r:id="rId13">
              <w:r>
                <w:rPr>
                  <w:rFonts w:ascii="Palatino Linotype" w:eastAsia="Palatino Linotype" w:hAnsi="Palatino Linotype" w:cs="Palatino Linotype"/>
                  <w:color w:val="000000"/>
                </w:rPr>
                <w:t>https://creativecommons.org/licenses/by-sa/4.0/</w:t>
              </w:r>
            </w:hyperlink>
            <w:r>
              <w:rPr>
                <w:rFonts w:ascii="Palatino Linotype" w:eastAsia="Palatino Linotype" w:hAnsi="Palatino Linotype" w:cs="Palatino Linotype"/>
              </w:rPr>
              <w:t>.</w:t>
            </w:r>
          </w:p>
        </w:tc>
      </w:tr>
    </w:tbl>
    <w:p w14:paraId="4E5CD0AF" w14:textId="77777777" w:rsidR="0078495C" w:rsidRDefault="0078495C">
      <w:pPr>
        <w:spacing w:line="240" w:lineRule="auto"/>
        <w:rPr>
          <w:rFonts w:ascii="Palatino Linotype" w:eastAsia="Palatino Linotype" w:hAnsi="Palatino Linotype" w:cs="Palatino Linotype"/>
          <w:sz w:val="22"/>
          <w:szCs w:val="22"/>
        </w:rPr>
      </w:pPr>
    </w:p>
    <w:p w14:paraId="576BFD6A" w14:textId="77777777" w:rsidR="00865A94" w:rsidRPr="00FE0B5C" w:rsidRDefault="00865A94" w:rsidP="00865A94">
      <w:pPr>
        <w:spacing w:line="360" w:lineRule="auto"/>
        <w:jc w:val="both"/>
        <w:rPr>
          <w:rFonts w:ascii="Palatino Linotype" w:eastAsia="Palatino Linotype" w:hAnsi="Palatino Linotype" w:cs="Palatino Linotype"/>
          <w:b/>
          <w:sz w:val="22"/>
        </w:rPr>
      </w:pPr>
      <w:r w:rsidRPr="00FE0B5C">
        <w:rPr>
          <w:rFonts w:ascii="Palatino Linotype" w:eastAsia="Palatino Linotype" w:hAnsi="Palatino Linotype" w:cs="Palatino Linotype"/>
          <w:b/>
          <w:sz w:val="22"/>
        </w:rPr>
        <w:t>PENDAHULUAN</w:t>
      </w:r>
    </w:p>
    <w:p w14:paraId="60DBAEEB" w14:textId="77777777" w:rsidR="00E3378B" w:rsidRPr="00E3378B" w:rsidRDefault="00E3378B" w:rsidP="00E3378B">
      <w:pPr>
        <w:spacing w:line="360" w:lineRule="auto"/>
        <w:ind w:firstLine="567"/>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Pendidikan merupakan pilar utama dalam pembangunan suatu negara. Di Indonesia, kualitas pendidikan sangat bergantung pada kualitas guru sebagai pengelola proses pembelajaran. Oleh karena itu, peningkatan kompetensi dan profesionalisme guru menjadi isu yang sangat penting untuk mendukung kualitas pendidikan yang lebih baik. Berdasarkan data dari Kementerian Pendidikan dan Kebudayaan Republik Indonesia, kualitas pendidikan di Indonesia masih menghadapi berbagai tantangan, salah satunya adalah rendahnya kompetensi profesional dan pedagogik guru di berbagai daerah, termasuk di sekolah-sekolah negeri. Hal ini menjadi semakin relevan mengingat tuntutan dunia pendidikan yang terus berkembang, baik dalam aspek </w:t>
      </w:r>
      <w:r w:rsidRPr="00E3378B">
        <w:rPr>
          <w:rFonts w:ascii="Palatino Linotype" w:hAnsi="Palatino Linotype" w:cstheme="majorBidi"/>
          <w:sz w:val="22"/>
          <w:szCs w:val="22"/>
          <w:shd w:val="clear" w:color="auto" w:fill="FFFFFF"/>
          <w:lang w:val="sv-SE"/>
        </w:rPr>
        <w:lastRenderedPageBreak/>
        <w:t xml:space="preserve">kurikulum maupun penggunaan teknologi </w:t>
      </w:r>
      <w:r w:rsidRPr="00E3378B">
        <w:rPr>
          <w:rStyle w:val="FootnoteReference"/>
          <w:rFonts w:ascii="Palatino Linotype" w:hAnsi="Palatino Linotype" w:cstheme="majorBidi"/>
          <w:sz w:val="22"/>
          <w:szCs w:val="22"/>
          <w:shd w:val="clear" w:color="auto" w:fill="FFFFFF"/>
          <w:lang w:val="sv-SE"/>
        </w:rPr>
        <w:footnoteReference w:id="1"/>
      </w:r>
      <w:r w:rsidRPr="00E3378B">
        <w:rPr>
          <w:rFonts w:ascii="Palatino Linotype" w:hAnsi="Palatino Linotype" w:cstheme="majorBidi"/>
          <w:sz w:val="22"/>
          <w:szCs w:val="22"/>
          <w:shd w:val="clear" w:color="auto" w:fill="FFFFFF"/>
          <w:lang w:val="sv-SE"/>
        </w:rPr>
        <w:t>.</w:t>
      </w:r>
    </w:p>
    <w:p w14:paraId="66D24629" w14:textId="77777777" w:rsidR="00E3378B" w:rsidRPr="00E3378B" w:rsidRDefault="00E3378B" w:rsidP="00E3378B">
      <w:pPr>
        <w:spacing w:line="360" w:lineRule="auto"/>
        <w:ind w:firstLine="567"/>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Seiring dengan tuntutan tersebut, program pendidikan dan pelatihan (diklat) bagi guru menjadi salah satu solusi strategis untuk meningkatkan kompetensi mereka. Diklat merupakan salah satu cara untuk memperbarui pengetahuan dan keterampilan guru, baik dalam aspek pedagogik, profesional, sosial, maupun karakter. Dalam konteks SMP Negeri 2 Batu Belah, diklat guru diharapkan dapat menjawab tantangan-tantangan yang ada, seperti peningkatan kualitas pengajaran, pengelolaan kelas yang efektif, serta kemampuan dalam mengadaptasi teknologi dalam pembelajaran. Oleh karena itu, penting untuk menganalisis relevansi tujuan dan materi dalam diklat guru yang diberikan, agar program ini dapat memberikan dampak yang maksimal terhadap peningkatan kualitas pendidikan di sekolah tersebut.</w:t>
      </w:r>
    </w:p>
    <w:p w14:paraId="2BDA761A" w14:textId="77777777" w:rsidR="00E3378B" w:rsidRPr="00E3378B" w:rsidRDefault="00E3378B" w:rsidP="00E3378B">
      <w:pPr>
        <w:spacing w:line="360" w:lineRule="auto"/>
        <w:ind w:firstLine="567"/>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Tujuan pendidikan di Indonesia telah diatur dalam berbagai kebijakan dan peraturan, salah satunya adalah Undang-Undang Sistem Pendidikan Nasional No. 20 Tahun 2003. Undang-undang ini menekankan pentingnya peningkatan kualitas sumber daya manusia, khususnya guru, sebagai bagian integral dari upaya menciptakan pendidikan yang berkualitas. Pendidikan guru yang terus-menerus melalui pelatihan dan pengembangan profesional dianggap sebagai salah satu cara untuk mencapai tujuan tersebut </w:t>
      </w:r>
      <w:r w:rsidRPr="00E3378B">
        <w:rPr>
          <w:rStyle w:val="FootnoteReference"/>
          <w:rFonts w:ascii="Palatino Linotype" w:hAnsi="Palatino Linotype" w:cstheme="majorBidi"/>
          <w:sz w:val="22"/>
          <w:szCs w:val="22"/>
          <w:shd w:val="clear" w:color="auto" w:fill="FFFFFF"/>
          <w:lang w:val="sv-SE"/>
        </w:rPr>
        <w:footnoteReference w:id="2"/>
      </w:r>
      <w:r w:rsidRPr="00E3378B">
        <w:rPr>
          <w:rFonts w:ascii="Palatino Linotype" w:hAnsi="Palatino Linotype" w:cstheme="majorBidi"/>
          <w:sz w:val="22"/>
          <w:szCs w:val="22"/>
          <w:shd w:val="clear" w:color="auto" w:fill="FFFFFF"/>
          <w:lang w:val="sv-SE"/>
        </w:rPr>
        <w:t>. Oleh karena itu, relevansi materi dan tujuan diklat bagi guru di SMP Negeri 2 Batu Belah seharusnya merujuk pada pedoman dan kebijakan yang berlaku, untuk memastikan bahwa tujuan diklat sesuai dengan standar yang ditetapkan oleh pemerintah.</w:t>
      </w:r>
    </w:p>
    <w:p w14:paraId="76F189CD" w14:textId="77777777" w:rsidR="00E3378B" w:rsidRPr="00E3378B" w:rsidRDefault="00E3378B" w:rsidP="00E3378B">
      <w:pPr>
        <w:spacing w:line="360" w:lineRule="auto"/>
        <w:ind w:firstLine="567"/>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Secara teoritik, banyak penelitian yang menunjukkan bahwa pelatihan dan pengembangan guru berperan penting dalam peningkatan kualitas pengajaran. Sebagai contoh, </w:t>
      </w:r>
      <w:r w:rsidRPr="00E3378B">
        <w:rPr>
          <w:rStyle w:val="FootnoteReference"/>
          <w:rFonts w:ascii="Palatino Linotype" w:hAnsi="Palatino Linotype" w:cstheme="majorBidi"/>
          <w:sz w:val="22"/>
          <w:szCs w:val="22"/>
          <w:shd w:val="clear" w:color="auto" w:fill="FFFFFF"/>
          <w:lang w:val="id-ID"/>
        </w:rPr>
        <w:footnoteReference w:id="3"/>
      </w:r>
      <w:r w:rsidRPr="00E3378B">
        <w:rPr>
          <w:rFonts w:ascii="Palatino Linotype" w:hAnsi="Palatino Linotype" w:cstheme="majorBidi"/>
          <w:sz w:val="22"/>
          <w:szCs w:val="22"/>
          <w:shd w:val="clear" w:color="auto" w:fill="FFFFFF"/>
          <w:lang w:val="sv-SE"/>
        </w:rPr>
        <w:t xml:space="preserve"> dalam penelitiannya menekankan bahwa diklat dapat meningkatkan kompetensi profesional dan pedagogik guru, yang pada gilirannya berpengaruh positif terhadap kualitas pembelajaran di kelas. Selain itu, </w:t>
      </w:r>
      <w:r w:rsidRPr="00E3378B">
        <w:rPr>
          <w:rStyle w:val="FootnoteReference"/>
          <w:rFonts w:ascii="Palatino Linotype" w:hAnsi="Palatino Linotype" w:cstheme="majorBidi"/>
          <w:sz w:val="22"/>
          <w:szCs w:val="22"/>
          <w:shd w:val="clear" w:color="auto" w:fill="FFFFFF"/>
          <w:lang w:val="id-ID"/>
        </w:rPr>
        <w:footnoteReference w:id="4"/>
      </w:r>
      <w:r w:rsidRPr="00E3378B">
        <w:rPr>
          <w:rFonts w:ascii="Palatino Linotype" w:hAnsi="Palatino Linotype" w:cstheme="majorBidi"/>
          <w:sz w:val="22"/>
          <w:szCs w:val="22"/>
          <w:shd w:val="clear" w:color="auto" w:fill="FFFFFF"/>
          <w:lang w:val="sv-SE"/>
        </w:rPr>
        <w:t xml:space="preserve"> juga mengungkapkan bahwa peningkatan kompetensi pedagogik, seperti pengelolaan kelas, strategi pengajaran, dan evaluasi pembelajaran, sangat krusial untuk menciptakan lingkungan belajar yang kondusif dan efektif. Oleh karena itu, materi diklat yang diberikan di SMP Negeri 2 Batu Belah harus disesuaikan dengan kebutuhan pengembangan </w:t>
      </w:r>
      <w:r w:rsidRPr="00E3378B">
        <w:rPr>
          <w:rFonts w:ascii="Palatino Linotype" w:hAnsi="Palatino Linotype" w:cstheme="majorBidi"/>
          <w:sz w:val="22"/>
          <w:szCs w:val="22"/>
          <w:shd w:val="clear" w:color="auto" w:fill="FFFFFF"/>
          <w:lang w:val="sv-SE"/>
        </w:rPr>
        <w:lastRenderedPageBreak/>
        <w:t>kompetensi guru di berbagai aspek tersebut.</w:t>
      </w:r>
    </w:p>
    <w:p w14:paraId="2B406CD1" w14:textId="77777777" w:rsidR="00E3378B" w:rsidRPr="00E3378B" w:rsidRDefault="00E3378B" w:rsidP="00E3378B">
      <w:pPr>
        <w:spacing w:line="360" w:lineRule="auto"/>
        <w:ind w:firstLine="567"/>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Dalam kenyataannya, SMP Negeri 2 Batu Belah menghadapi sejumlah tantangan dalam meningkatkan kualitas pengajaran. Guru di sekolah ini, seperti di banyak sekolah lainnya, perlu memperbarui keterampilan dan pengetahuan mereka seiring dengan perubahan kurikulum dan kemajuan teknologi. Selain itu, dengan semakin meningkatnya jumlah siswa yang memiliki kebutuhan khusus, penting bagi guru untuk memiliki keterampilan dalam menangani keberagaman siswa, termasuk siswa dengan kebutuhan khusus. Berdasarkan temuan dari </w:t>
      </w:r>
      <w:r w:rsidRPr="00E3378B">
        <w:rPr>
          <w:rStyle w:val="FootnoteReference"/>
          <w:rFonts w:ascii="Palatino Linotype" w:hAnsi="Palatino Linotype" w:cstheme="majorBidi"/>
          <w:sz w:val="22"/>
          <w:szCs w:val="22"/>
          <w:shd w:val="clear" w:color="auto" w:fill="FFFFFF"/>
          <w:lang w:val="id-ID"/>
        </w:rPr>
        <w:footnoteReference w:id="5"/>
      </w:r>
      <w:r w:rsidRPr="00E3378B">
        <w:rPr>
          <w:rFonts w:ascii="Palatino Linotype" w:hAnsi="Palatino Linotype" w:cstheme="majorBidi"/>
          <w:sz w:val="22"/>
          <w:szCs w:val="22"/>
          <w:shd w:val="clear" w:color="auto" w:fill="FFFFFF"/>
          <w:lang w:val="sv-SE"/>
        </w:rPr>
        <w:t>, pendidikan inklusi yang melibatkan siswa berkebutuhan khusus memerlukan keterampilan khusus dari guru, baik dalam hal pendekatan pengajaran maupun pengelolaan kelas. Di samping itu, penggunaan teknologi dalam pendidikan juga semakin menjadi hal yang tidak dapat dihindari. Oleh karena itu, diklat yang diberikan di SMP Negeri 2 Batu Belah perlu mempertimbangkan konteks dan kebutuhan lokal sekolah tersebut, dengan tujuan agar dapat memberikan manfaat yang maksimal bagi pengembangan kompetensi guru.</w:t>
      </w:r>
    </w:p>
    <w:p w14:paraId="619B64C4" w14:textId="77777777" w:rsidR="00E3378B" w:rsidRPr="00E3378B" w:rsidRDefault="00E3378B" w:rsidP="00E3378B">
      <w:pPr>
        <w:spacing w:line="360" w:lineRule="auto"/>
        <w:ind w:firstLine="567"/>
        <w:jc w:val="both"/>
        <w:rPr>
          <w:rFonts w:ascii="Palatino Linotype" w:hAnsi="Palatino Linotype" w:cstheme="majorBidi"/>
          <w:sz w:val="22"/>
          <w:szCs w:val="22"/>
          <w:shd w:val="clear" w:color="auto" w:fill="FFFFFF"/>
          <w:lang w:val="en-ID"/>
        </w:rPr>
      </w:pPr>
      <w:r w:rsidRPr="00E3378B">
        <w:rPr>
          <w:rFonts w:ascii="Palatino Linotype" w:hAnsi="Palatino Linotype" w:cstheme="majorBidi"/>
          <w:sz w:val="22"/>
          <w:szCs w:val="22"/>
          <w:shd w:val="clear" w:color="auto" w:fill="FFFFFF"/>
          <w:lang w:val="sv-SE"/>
        </w:rPr>
        <w:t xml:space="preserve">Isu yang menjadi hal yang baru dan relevan dalam konteks diklat guru adalah bagaimana integrasi teknologi dalam pembelajaran dapat meningkatkan kualitas pengajaran. </w:t>
      </w:r>
      <w:r w:rsidRPr="00E3378B">
        <w:rPr>
          <w:rStyle w:val="FootnoteReference"/>
          <w:rFonts w:ascii="Palatino Linotype" w:hAnsi="Palatino Linotype" w:cstheme="majorBidi"/>
          <w:sz w:val="22"/>
          <w:szCs w:val="22"/>
          <w:shd w:val="clear" w:color="auto" w:fill="FFFFFF"/>
          <w:lang w:val="en-ID"/>
        </w:rPr>
        <w:footnoteReference w:id="6"/>
      </w:r>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dalam</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penelitiannya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menyoroti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pentingnya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literasi</w:t>
      </w:r>
      <w:proofErr w:type="spellEnd"/>
      <w:r w:rsidRPr="00E3378B">
        <w:rPr>
          <w:rFonts w:ascii="Palatino Linotype" w:hAnsi="Palatino Linotype" w:cstheme="majorBidi"/>
          <w:sz w:val="22"/>
          <w:szCs w:val="22"/>
          <w:shd w:val="clear" w:color="auto" w:fill="FFFFFF"/>
          <w:lang w:val="en-ID"/>
        </w:rPr>
        <w:t xml:space="preserve"> digital </w:t>
      </w:r>
      <w:proofErr w:type="spellStart"/>
      <w:r w:rsidRPr="00E3378B">
        <w:rPr>
          <w:rFonts w:ascii="Palatino Linotype" w:hAnsi="Palatino Linotype" w:cstheme="majorBidi"/>
          <w:sz w:val="22"/>
          <w:szCs w:val="22"/>
          <w:shd w:val="clear" w:color="auto" w:fill="FFFFFF"/>
          <w:lang w:val="en-ID"/>
        </w:rPr>
        <w:t>bagi</w:t>
      </w:r>
      <w:proofErr w:type="spellEnd"/>
      <w:r w:rsidRPr="00E3378B">
        <w:rPr>
          <w:rFonts w:ascii="Palatino Linotype" w:hAnsi="Palatino Linotype" w:cstheme="majorBidi"/>
          <w:sz w:val="22"/>
          <w:szCs w:val="22"/>
          <w:shd w:val="clear" w:color="auto" w:fill="FFFFFF"/>
          <w:lang w:val="en-ID"/>
        </w:rPr>
        <w:t xml:space="preserve"> guru, </w:t>
      </w:r>
      <w:proofErr w:type="spellStart"/>
      <w:r w:rsidRPr="00E3378B">
        <w:rPr>
          <w:rFonts w:ascii="Palatino Linotype" w:hAnsi="Palatino Linotype" w:cstheme="majorBidi"/>
          <w:sz w:val="22"/>
          <w:szCs w:val="22"/>
          <w:shd w:val="clear" w:color="auto" w:fill="FFFFFF"/>
          <w:lang w:val="en-ID"/>
        </w:rPr>
        <w:t>terutama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dalam</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menghadapi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tantangan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pembelajaran</w:t>
      </w:r>
      <w:proofErr w:type="spellEnd"/>
      <w:r w:rsidRPr="00E3378B">
        <w:rPr>
          <w:rFonts w:ascii="Palatino Linotype" w:hAnsi="Palatino Linotype" w:cstheme="majorBidi"/>
          <w:sz w:val="22"/>
          <w:szCs w:val="22"/>
          <w:shd w:val="clear" w:color="auto" w:fill="FFFFFF"/>
          <w:lang w:val="en-ID"/>
        </w:rPr>
        <w:t xml:space="preserve"> yang </w:t>
      </w:r>
      <w:proofErr w:type="spellStart"/>
      <w:r w:rsidRPr="00E3378B">
        <w:rPr>
          <w:rFonts w:ascii="Palatino Linotype" w:hAnsi="Palatino Linotype" w:cstheme="majorBidi"/>
          <w:sz w:val="22"/>
          <w:szCs w:val="22"/>
          <w:shd w:val="clear" w:color="auto" w:fill="FFFFFF"/>
          <w:lang w:val="en-ID"/>
        </w:rPr>
        <w:t>semakin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bergantung</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pada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teknologi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Penggunaan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aplikasi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pembelajaran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berbasis</w:t>
      </w:r>
      <w:proofErr w:type="spellEnd"/>
      <w:r w:rsidRPr="00E3378B">
        <w:rPr>
          <w:rFonts w:ascii="Palatino Linotype" w:hAnsi="Palatino Linotype" w:cstheme="majorBidi"/>
          <w:sz w:val="22"/>
          <w:szCs w:val="22"/>
          <w:shd w:val="clear" w:color="auto" w:fill="FFFFFF"/>
          <w:lang w:val="en-ID"/>
        </w:rPr>
        <w:t xml:space="preserve"> digital, platform </w:t>
      </w:r>
      <w:proofErr w:type="spellStart"/>
      <w:r w:rsidRPr="00E3378B">
        <w:rPr>
          <w:rFonts w:ascii="Palatino Linotype" w:hAnsi="Palatino Linotype" w:cstheme="majorBidi"/>
          <w:sz w:val="22"/>
          <w:szCs w:val="22"/>
          <w:shd w:val="clear" w:color="auto" w:fill="FFFFFF"/>
          <w:lang w:val="en-ID"/>
        </w:rPr>
        <w:t>pembelajaran</w:t>
      </w:r>
      <w:proofErr w:type="spellEnd"/>
      <w:r w:rsidRPr="00E3378B">
        <w:rPr>
          <w:rFonts w:ascii="Palatino Linotype" w:hAnsi="Palatino Linotype" w:cstheme="majorBidi"/>
          <w:sz w:val="22"/>
          <w:szCs w:val="22"/>
          <w:shd w:val="clear" w:color="auto" w:fill="FFFFFF"/>
          <w:lang w:val="en-ID"/>
        </w:rPr>
        <w:t xml:space="preserve"> online,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alat</w:t>
      </w:r>
      <w:proofErr w:type="spellEnd"/>
      <w:r w:rsidRPr="00E3378B">
        <w:rPr>
          <w:rFonts w:ascii="Palatino Linotype" w:hAnsi="Palatino Linotype" w:cstheme="majorBidi"/>
          <w:sz w:val="22"/>
          <w:szCs w:val="22"/>
          <w:shd w:val="clear" w:color="auto" w:fill="FFFFFF"/>
          <w:lang w:val="en-ID"/>
        </w:rPr>
        <w:t xml:space="preserve"> bantu multimedia </w:t>
      </w:r>
      <w:proofErr w:type="spellStart"/>
      <w:r w:rsidRPr="00E3378B">
        <w:rPr>
          <w:rFonts w:ascii="Palatino Linotype" w:hAnsi="Palatino Linotype" w:cstheme="majorBidi"/>
          <w:sz w:val="22"/>
          <w:szCs w:val="22"/>
          <w:shd w:val="clear" w:color="auto" w:fill="FFFFFF"/>
          <w:lang w:val="en-ID"/>
        </w:rPr>
        <w:t>menjadi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semakin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penting</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untuk</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menciptakan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pengalaman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belajar</w:t>
      </w:r>
      <w:proofErr w:type="spellEnd"/>
      <w:r w:rsidRPr="00E3378B">
        <w:rPr>
          <w:rFonts w:ascii="Palatino Linotype" w:hAnsi="Palatino Linotype" w:cstheme="majorBidi"/>
          <w:sz w:val="22"/>
          <w:szCs w:val="22"/>
          <w:shd w:val="clear" w:color="auto" w:fill="FFFFFF"/>
          <w:lang w:val="en-ID"/>
        </w:rPr>
        <w:t xml:space="preserve"> yang </w:t>
      </w:r>
      <w:proofErr w:type="spellStart"/>
      <w:r w:rsidRPr="00E3378B">
        <w:rPr>
          <w:rFonts w:ascii="Palatino Linotype" w:hAnsi="Palatino Linotype" w:cstheme="majorBidi"/>
          <w:sz w:val="22"/>
          <w:szCs w:val="22"/>
          <w:shd w:val="clear" w:color="auto" w:fill="FFFFFF"/>
          <w:lang w:val="en-ID"/>
        </w:rPr>
        <w:t>interaktif</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menarik</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Oleh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karena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itu</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materi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diklat</w:t>
      </w:r>
      <w:proofErr w:type="spellEnd"/>
      <w:r w:rsidRPr="00E3378B">
        <w:rPr>
          <w:rFonts w:ascii="Palatino Linotype" w:hAnsi="Palatino Linotype" w:cstheme="majorBidi"/>
          <w:sz w:val="22"/>
          <w:szCs w:val="22"/>
          <w:shd w:val="clear" w:color="auto" w:fill="FFFFFF"/>
          <w:lang w:val="en-ID"/>
        </w:rPr>
        <w:t xml:space="preserve"> yang </w:t>
      </w:r>
      <w:proofErr w:type="spellStart"/>
      <w:r w:rsidRPr="00E3378B">
        <w:rPr>
          <w:rFonts w:ascii="Palatino Linotype" w:hAnsi="Palatino Linotype" w:cstheme="majorBidi"/>
          <w:sz w:val="22"/>
          <w:szCs w:val="22"/>
          <w:shd w:val="clear" w:color="auto" w:fill="FFFFFF"/>
          <w:lang w:val="en-ID"/>
        </w:rPr>
        <w:t>mengedepankan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penggunaan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teknologi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harus</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menjadi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bagian</w:t>
      </w:r>
      <w:proofErr w:type="spellEnd"/>
      <w:r w:rsidRPr="00E3378B">
        <w:rPr>
          <w:rFonts w:ascii="Palatino Linotype" w:hAnsi="Palatino Linotype" w:cstheme="majorBidi"/>
          <w:sz w:val="22"/>
          <w:szCs w:val="22"/>
          <w:shd w:val="clear" w:color="auto" w:fill="FFFFFF"/>
          <w:lang w:val="en-ID"/>
        </w:rPr>
        <w:t xml:space="preserve"> integral </w:t>
      </w:r>
      <w:proofErr w:type="spellStart"/>
      <w:r w:rsidRPr="00E3378B">
        <w:rPr>
          <w:rFonts w:ascii="Palatino Linotype" w:hAnsi="Palatino Linotype" w:cstheme="majorBidi"/>
          <w:sz w:val="22"/>
          <w:szCs w:val="22"/>
          <w:shd w:val="clear" w:color="auto" w:fill="FFFFFF"/>
          <w:lang w:val="en-ID"/>
        </w:rPr>
        <w:t>dari</w:t>
      </w:r>
      <w:proofErr w:type="spellEnd"/>
      <w:r w:rsidRPr="00E3378B">
        <w:rPr>
          <w:rFonts w:ascii="Palatino Linotype" w:hAnsi="Palatino Linotype" w:cstheme="majorBidi"/>
          <w:sz w:val="22"/>
          <w:szCs w:val="22"/>
          <w:shd w:val="clear" w:color="auto" w:fill="FFFFFF"/>
          <w:lang w:val="en-ID"/>
        </w:rPr>
        <w:t xml:space="preserve"> program </w:t>
      </w:r>
      <w:proofErr w:type="spellStart"/>
      <w:r w:rsidRPr="00E3378B">
        <w:rPr>
          <w:rFonts w:ascii="Palatino Linotype" w:hAnsi="Palatino Linotype" w:cstheme="majorBidi"/>
          <w:sz w:val="22"/>
          <w:szCs w:val="22"/>
          <w:shd w:val="clear" w:color="auto" w:fill="FFFFFF"/>
          <w:lang w:val="en-ID"/>
        </w:rPr>
        <w:t>diklat</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bagi</w:t>
      </w:r>
      <w:proofErr w:type="spellEnd"/>
      <w:r w:rsidRPr="00E3378B">
        <w:rPr>
          <w:rFonts w:ascii="Palatino Linotype" w:hAnsi="Palatino Linotype" w:cstheme="majorBidi"/>
          <w:sz w:val="22"/>
          <w:szCs w:val="22"/>
          <w:shd w:val="clear" w:color="auto" w:fill="FFFFFF"/>
          <w:lang w:val="en-ID"/>
        </w:rPr>
        <w:t xml:space="preserve"> guru di SMP </w:t>
      </w:r>
      <w:proofErr w:type="spellStart"/>
      <w:r w:rsidRPr="00E3378B">
        <w:rPr>
          <w:rFonts w:ascii="Palatino Linotype" w:hAnsi="Palatino Linotype" w:cstheme="majorBidi"/>
          <w:sz w:val="22"/>
          <w:szCs w:val="22"/>
          <w:shd w:val="clear" w:color="auto" w:fill="FFFFFF"/>
          <w:lang w:val="en-ID"/>
        </w:rPr>
        <w:t>Negeri</w:t>
      </w:r>
      <w:proofErr w:type="spellEnd"/>
      <w:r w:rsidRPr="00E3378B">
        <w:rPr>
          <w:rFonts w:ascii="Palatino Linotype" w:hAnsi="Palatino Linotype" w:cstheme="majorBidi"/>
          <w:sz w:val="22"/>
          <w:szCs w:val="22"/>
          <w:shd w:val="clear" w:color="auto" w:fill="FFFFFF"/>
          <w:lang w:val="en-ID"/>
        </w:rPr>
        <w:t xml:space="preserve"> 2 </w:t>
      </w:r>
      <w:proofErr w:type="spellStart"/>
      <w:r w:rsidRPr="00E3378B">
        <w:rPr>
          <w:rFonts w:ascii="Palatino Linotype" w:hAnsi="Palatino Linotype" w:cstheme="majorBidi"/>
          <w:sz w:val="22"/>
          <w:szCs w:val="22"/>
          <w:shd w:val="clear" w:color="auto" w:fill="FFFFFF"/>
          <w:lang w:val="en-ID"/>
        </w:rPr>
        <w:t>Batu</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Belah</w:t>
      </w:r>
      <w:proofErr w:type="spellEnd"/>
      <w:r w:rsidRPr="00E3378B">
        <w:rPr>
          <w:rFonts w:ascii="Palatino Linotype" w:hAnsi="Palatino Linotype" w:cstheme="majorBidi"/>
          <w:sz w:val="22"/>
          <w:szCs w:val="22"/>
          <w:shd w:val="clear" w:color="auto" w:fill="FFFFFF"/>
          <w:lang w:val="en-ID"/>
        </w:rPr>
        <w:t xml:space="preserve">, agar </w:t>
      </w:r>
      <w:proofErr w:type="spellStart"/>
      <w:r w:rsidRPr="00E3378B">
        <w:rPr>
          <w:rFonts w:ascii="Palatino Linotype" w:hAnsi="Palatino Linotype" w:cstheme="majorBidi"/>
          <w:sz w:val="22"/>
          <w:szCs w:val="22"/>
          <w:shd w:val="clear" w:color="auto" w:fill="FFFFFF"/>
          <w:lang w:val="en-ID"/>
        </w:rPr>
        <w:t>mereka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dapat</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memanfaatkan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teknologi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untuk</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meningkatkan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kualitas</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pengajaran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pembelajaran</w:t>
      </w:r>
      <w:proofErr w:type="spellEnd"/>
      <w:r w:rsidRPr="00E3378B">
        <w:rPr>
          <w:rFonts w:ascii="Palatino Linotype" w:hAnsi="Palatino Linotype" w:cstheme="majorBidi"/>
          <w:sz w:val="22"/>
          <w:szCs w:val="22"/>
          <w:shd w:val="clear" w:color="auto" w:fill="FFFFFF"/>
          <w:lang w:val="en-ID"/>
        </w:rPr>
        <w:t xml:space="preserve"> di </w:t>
      </w:r>
      <w:proofErr w:type="spellStart"/>
      <w:r w:rsidRPr="00E3378B">
        <w:rPr>
          <w:rFonts w:ascii="Palatino Linotype" w:hAnsi="Palatino Linotype" w:cstheme="majorBidi"/>
          <w:sz w:val="22"/>
          <w:szCs w:val="22"/>
          <w:shd w:val="clear" w:color="auto" w:fill="FFFFFF"/>
          <w:lang w:val="en-ID"/>
        </w:rPr>
        <w:t>kelas</w:t>
      </w:r>
      <w:proofErr w:type="spellEnd"/>
      <w:r w:rsidRPr="00E3378B">
        <w:rPr>
          <w:rFonts w:ascii="Palatino Linotype" w:hAnsi="Palatino Linotype" w:cstheme="majorBidi"/>
          <w:sz w:val="22"/>
          <w:szCs w:val="22"/>
          <w:shd w:val="clear" w:color="auto" w:fill="FFFFFF"/>
          <w:lang w:val="en-ID"/>
        </w:rPr>
        <w:t>.</w:t>
      </w:r>
    </w:p>
    <w:p w14:paraId="2175A10D" w14:textId="77777777" w:rsidR="00E3378B" w:rsidRPr="00E3378B" w:rsidRDefault="00E3378B" w:rsidP="00E3378B">
      <w:pPr>
        <w:spacing w:line="360" w:lineRule="auto"/>
        <w:ind w:firstLine="567"/>
        <w:jc w:val="both"/>
        <w:rPr>
          <w:rFonts w:ascii="Palatino Linotype" w:hAnsi="Palatino Linotype" w:cstheme="majorBidi"/>
          <w:sz w:val="22"/>
          <w:szCs w:val="22"/>
          <w:shd w:val="clear" w:color="auto" w:fill="FFFFFF"/>
          <w:lang w:val="en-ID"/>
        </w:rPr>
      </w:pPr>
      <w:proofErr w:type="spellStart"/>
      <w:r w:rsidRPr="00E3378B">
        <w:rPr>
          <w:rFonts w:ascii="Palatino Linotype" w:hAnsi="Palatino Linotype" w:cstheme="majorBidi"/>
          <w:sz w:val="22"/>
          <w:szCs w:val="22"/>
          <w:shd w:val="clear" w:color="auto" w:fill="FFFFFF"/>
          <w:lang w:val="en-ID"/>
        </w:rPr>
        <w:t>Selain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itu</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ada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juga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kebutuhan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untuk</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memperkenalkan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mengintegrasikan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budaya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kearifan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lokal</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dalam</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pembelajaran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Sebagaimana</w:t>
      </w:r>
      <w:proofErr w:type="spellEnd"/>
      <w:r w:rsidRPr="00E3378B">
        <w:rPr>
          <w:rFonts w:ascii="Palatino Linotype" w:hAnsi="Palatino Linotype" w:cstheme="majorBidi"/>
          <w:sz w:val="22"/>
          <w:szCs w:val="22"/>
          <w:shd w:val="clear" w:color="auto" w:fill="FFFFFF"/>
          <w:lang w:val="en-ID"/>
        </w:rPr>
        <w:t xml:space="preserve"> yang </w:t>
      </w:r>
      <w:proofErr w:type="spellStart"/>
      <w:r w:rsidRPr="00E3378B">
        <w:rPr>
          <w:rFonts w:ascii="Palatino Linotype" w:hAnsi="Palatino Linotype" w:cstheme="majorBidi"/>
          <w:sz w:val="22"/>
          <w:szCs w:val="22"/>
          <w:shd w:val="clear" w:color="auto" w:fill="FFFFFF"/>
          <w:lang w:val="en-ID"/>
        </w:rPr>
        <w:t>diungkapkan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oleh</w:t>
      </w:r>
      <w:proofErr w:type="spellEnd"/>
      <w:r w:rsidRPr="00E3378B">
        <w:rPr>
          <w:rFonts w:ascii="Palatino Linotype" w:hAnsi="Palatino Linotype" w:cstheme="majorBidi"/>
          <w:sz w:val="22"/>
          <w:szCs w:val="22"/>
          <w:shd w:val="clear" w:color="auto" w:fill="FFFFFF"/>
          <w:lang w:val="en-ID"/>
        </w:rPr>
        <w:t xml:space="preserve"> </w:t>
      </w:r>
      <w:r w:rsidRPr="00E3378B">
        <w:rPr>
          <w:rFonts w:ascii="Palatino Linotype" w:hAnsi="Palatino Linotype" w:cstheme="majorBidi"/>
          <w:sz w:val="22"/>
          <w:szCs w:val="22"/>
          <w:shd w:val="clear" w:color="auto" w:fill="FFFFFF"/>
          <w:lang w:val="id-ID"/>
        </w:rPr>
        <w:t xml:space="preserve"> </w:t>
      </w:r>
      <w:r w:rsidRPr="00E3378B">
        <w:rPr>
          <w:rStyle w:val="FootnoteReference"/>
          <w:rFonts w:ascii="Palatino Linotype" w:hAnsi="Palatino Linotype" w:cstheme="majorBidi"/>
          <w:sz w:val="22"/>
          <w:szCs w:val="22"/>
          <w:shd w:val="clear" w:color="auto" w:fill="FFFFFF"/>
          <w:lang w:val="id-ID"/>
        </w:rPr>
        <w:footnoteReference w:id="7"/>
      </w:r>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pengenalan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budaya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lokal</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dalam</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pembelajaran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dapat</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memperkaya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pengalaman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belajar</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siswa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menanamkan</w:t>
      </w:r>
      <w:proofErr w:type="spellEnd"/>
      <w:r w:rsidRPr="00E3378B">
        <w:rPr>
          <w:rFonts w:ascii="Palatino Linotype" w:hAnsi="Palatino Linotype" w:cstheme="majorBidi"/>
          <w:sz w:val="22"/>
          <w:szCs w:val="22"/>
          <w:shd w:val="clear" w:color="auto" w:fill="FFFFFF"/>
          <w:lang w:val="en-ID"/>
        </w:rPr>
        <w:t xml:space="preserve"> rasa </w:t>
      </w:r>
      <w:proofErr w:type="spellStart"/>
      <w:r w:rsidRPr="00E3378B">
        <w:rPr>
          <w:rFonts w:ascii="Palatino Linotype" w:hAnsi="Palatino Linotype" w:cstheme="majorBidi"/>
          <w:sz w:val="22"/>
          <w:szCs w:val="22"/>
          <w:shd w:val="clear" w:color="auto" w:fill="FFFFFF"/>
          <w:lang w:val="en-ID"/>
        </w:rPr>
        <w:t>kebanggaan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terhadap</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identitas</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budaya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mereka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Oleh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karena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itu</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diklat</w:t>
      </w:r>
      <w:proofErr w:type="spellEnd"/>
      <w:r w:rsidRPr="00E3378B">
        <w:rPr>
          <w:rFonts w:ascii="Palatino Linotype" w:hAnsi="Palatino Linotype" w:cstheme="majorBidi"/>
          <w:sz w:val="22"/>
          <w:szCs w:val="22"/>
          <w:shd w:val="clear" w:color="auto" w:fill="FFFFFF"/>
          <w:lang w:val="en-ID"/>
        </w:rPr>
        <w:t xml:space="preserve"> yang </w:t>
      </w:r>
      <w:proofErr w:type="spellStart"/>
      <w:r w:rsidRPr="00E3378B">
        <w:rPr>
          <w:rFonts w:ascii="Palatino Linotype" w:hAnsi="Palatino Linotype" w:cstheme="majorBidi"/>
          <w:sz w:val="22"/>
          <w:szCs w:val="22"/>
          <w:shd w:val="clear" w:color="auto" w:fill="FFFFFF"/>
          <w:lang w:val="en-ID"/>
        </w:rPr>
        <w:t>mengedepankan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penguatan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pemahaman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tentang</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budaya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lokal</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cara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mengintegrasikannya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dalam</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materi</w:t>
      </w:r>
      <w:proofErr w:type="spellEnd"/>
      <w:r w:rsidRPr="00E3378B">
        <w:rPr>
          <w:rFonts w:ascii="Palatino Linotype" w:hAnsi="Palatino Linotype" w:cstheme="majorBidi"/>
          <w:sz w:val="22"/>
          <w:szCs w:val="22"/>
          <w:shd w:val="clear" w:color="auto" w:fill="FFFFFF"/>
          <w:lang w:val="en-ID"/>
        </w:rPr>
        <w:t xml:space="preserve"> ajar </w:t>
      </w:r>
      <w:proofErr w:type="spellStart"/>
      <w:r w:rsidRPr="00E3378B">
        <w:rPr>
          <w:rFonts w:ascii="Palatino Linotype" w:hAnsi="Palatino Linotype" w:cstheme="majorBidi"/>
          <w:sz w:val="22"/>
          <w:szCs w:val="22"/>
          <w:shd w:val="clear" w:color="auto" w:fill="FFFFFF"/>
          <w:lang w:val="en-ID"/>
        </w:rPr>
        <w:t>sangat</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penting</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dalam</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konteks</w:t>
      </w:r>
      <w:proofErr w:type="spellEnd"/>
      <w:r w:rsidRPr="00E3378B">
        <w:rPr>
          <w:rFonts w:ascii="Palatino Linotype" w:hAnsi="Palatino Linotype" w:cstheme="majorBidi"/>
          <w:sz w:val="22"/>
          <w:szCs w:val="22"/>
          <w:shd w:val="clear" w:color="auto" w:fill="FFFFFF"/>
          <w:lang w:val="en-ID"/>
        </w:rPr>
        <w:t xml:space="preserve"> SMP Negeri 2 Batu Belah.</w:t>
      </w:r>
    </w:p>
    <w:p w14:paraId="4BDA38FB" w14:textId="226E197A" w:rsidR="0078495C" w:rsidRPr="00E3378B" w:rsidRDefault="00E3378B" w:rsidP="00E3378B">
      <w:pPr>
        <w:shd w:val="clear" w:color="auto" w:fill="FFFFFF"/>
        <w:spacing w:line="360" w:lineRule="auto"/>
        <w:ind w:firstLine="720"/>
        <w:jc w:val="both"/>
        <w:rPr>
          <w:rFonts w:ascii="Palatino Linotype" w:hAnsi="Palatino Linotype" w:cstheme="majorBidi"/>
          <w:sz w:val="22"/>
          <w:szCs w:val="22"/>
          <w:shd w:val="clear" w:color="auto" w:fill="FFFFFF"/>
          <w:lang w:val="en-ID"/>
        </w:rPr>
      </w:pPr>
      <w:proofErr w:type="spellStart"/>
      <w:r w:rsidRPr="00E3378B">
        <w:rPr>
          <w:rFonts w:ascii="Palatino Linotype" w:hAnsi="Palatino Linotype" w:cstheme="majorBidi"/>
          <w:sz w:val="22"/>
          <w:szCs w:val="22"/>
          <w:shd w:val="clear" w:color="auto" w:fill="FFFFFF"/>
          <w:lang w:val="en-ID"/>
        </w:rPr>
        <w:lastRenderedPageBreak/>
        <w:t>Fenomena</w:t>
      </w:r>
      <w:proofErr w:type="spellEnd"/>
      <w:r w:rsidRPr="00E3378B">
        <w:rPr>
          <w:rFonts w:ascii="Palatino Linotype" w:hAnsi="Palatino Linotype" w:cstheme="majorBidi"/>
          <w:sz w:val="22"/>
          <w:szCs w:val="22"/>
          <w:shd w:val="clear" w:color="auto" w:fill="FFFFFF"/>
          <w:lang w:val="en-ID"/>
        </w:rPr>
        <w:t xml:space="preserve"> yang </w:t>
      </w:r>
      <w:proofErr w:type="spellStart"/>
      <w:r w:rsidRPr="00E3378B">
        <w:rPr>
          <w:rFonts w:ascii="Palatino Linotype" w:hAnsi="Palatino Linotype" w:cstheme="majorBidi"/>
          <w:sz w:val="22"/>
          <w:szCs w:val="22"/>
          <w:shd w:val="clear" w:color="auto" w:fill="FFFFFF"/>
          <w:lang w:val="en-ID"/>
        </w:rPr>
        <w:t>terjadi</w:t>
      </w:r>
      <w:proofErr w:type="spellEnd"/>
      <w:r w:rsidRPr="00E3378B">
        <w:rPr>
          <w:rFonts w:ascii="Palatino Linotype" w:hAnsi="Palatino Linotype" w:cstheme="majorBidi"/>
          <w:sz w:val="22"/>
          <w:szCs w:val="22"/>
          <w:shd w:val="clear" w:color="auto" w:fill="FFFFFF"/>
          <w:lang w:val="en-ID"/>
        </w:rPr>
        <w:t xml:space="preserve"> di SMP </w:t>
      </w:r>
      <w:proofErr w:type="spellStart"/>
      <w:r w:rsidRPr="00E3378B">
        <w:rPr>
          <w:rFonts w:ascii="Palatino Linotype" w:hAnsi="Palatino Linotype" w:cstheme="majorBidi"/>
          <w:sz w:val="22"/>
          <w:szCs w:val="22"/>
          <w:shd w:val="clear" w:color="auto" w:fill="FFFFFF"/>
          <w:lang w:val="en-ID"/>
        </w:rPr>
        <w:t>Negeri</w:t>
      </w:r>
      <w:proofErr w:type="spellEnd"/>
      <w:r w:rsidRPr="00E3378B">
        <w:rPr>
          <w:rFonts w:ascii="Palatino Linotype" w:hAnsi="Palatino Linotype" w:cstheme="majorBidi"/>
          <w:sz w:val="22"/>
          <w:szCs w:val="22"/>
          <w:shd w:val="clear" w:color="auto" w:fill="FFFFFF"/>
          <w:lang w:val="en-ID"/>
        </w:rPr>
        <w:t xml:space="preserve"> 2 </w:t>
      </w:r>
      <w:proofErr w:type="spellStart"/>
      <w:r w:rsidRPr="00E3378B">
        <w:rPr>
          <w:rFonts w:ascii="Palatino Linotype" w:hAnsi="Palatino Linotype" w:cstheme="majorBidi"/>
          <w:sz w:val="22"/>
          <w:szCs w:val="22"/>
          <w:shd w:val="clear" w:color="auto" w:fill="FFFFFF"/>
          <w:lang w:val="en-ID"/>
        </w:rPr>
        <w:t>Batu</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Belah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ini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menunjukkan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bahwa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meskipun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sudah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ada</w:t>
      </w:r>
      <w:proofErr w:type="spellEnd"/>
      <w:r w:rsidRPr="00E3378B">
        <w:rPr>
          <w:rFonts w:ascii="Palatino Linotype" w:hAnsi="Palatino Linotype" w:cstheme="majorBidi"/>
          <w:sz w:val="22"/>
          <w:szCs w:val="22"/>
          <w:shd w:val="clear" w:color="auto" w:fill="FFFFFF"/>
          <w:lang w:val="en-ID"/>
        </w:rPr>
        <w:t xml:space="preserve"> program </w:t>
      </w:r>
      <w:proofErr w:type="spellStart"/>
      <w:r w:rsidRPr="00E3378B">
        <w:rPr>
          <w:rFonts w:ascii="Palatino Linotype" w:hAnsi="Palatino Linotype" w:cstheme="majorBidi"/>
          <w:sz w:val="22"/>
          <w:szCs w:val="22"/>
          <w:shd w:val="clear" w:color="auto" w:fill="FFFFFF"/>
          <w:lang w:val="en-ID"/>
        </w:rPr>
        <w:t>diklat</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bagi</w:t>
      </w:r>
      <w:proofErr w:type="spellEnd"/>
      <w:r w:rsidRPr="00E3378B">
        <w:rPr>
          <w:rFonts w:ascii="Palatino Linotype" w:hAnsi="Palatino Linotype" w:cstheme="majorBidi"/>
          <w:sz w:val="22"/>
          <w:szCs w:val="22"/>
          <w:shd w:val="clear" w:color="auto" w:fill="FFFFFF"/>
          <w:lang w:val="en-ID"/>
        </w:rPr>
        <w:t xml:space="preserve"> guru, </w:t>
      </w:r>
      <w:proofErr w:type="spellStart"/>
      <w:r w:rsidRPr="00E3378B">
        <w:rPr>
          <w:rFonts w:ascii="Palatino Linotype" w:hAnsi="Palatino Linotype" w:cstheme="majorBidi"/>
          <w:sz w:val="22"/>
          <w:szCs w:val="22"/>
          <w:shd w:val="clear" w:color="auto" w:fill="FFFFFF"/>
          <w:lang w:val="en-ID"/>
        </w:rPr>
        <w:t>relevansi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keberhasilan</w:t>
      </w:r>
      <w:proofErr w:type="spellEnd"/>
      <w:r w:rsidRPr="00E3378B">
        <w:rPr>
          <w:rFonts w:ascii="Palatino Linotype" w:hAnsi="Palatino Linotype" w:cstheme="majorBidi"/>
          <w:sz w:val="22"/>
          <w:szCs w:val="22"/>
          <w:shd w:val="clear" w:color="auto" w:fill="FFFFFF"/>
          <w:lang w:val="en-ID"/>
        </w:rPr>
        <w:t xml:space="preserve"> program </w:t>
      </w:r>
      <w:proofErr w:type="spellStart"/>
      <w:r w:rsidRPr="00E3378B">
        <w:rPr>
          <w:rFonts w:ascii="Palatino Linotype" w:hAnsi="Palatino Linotype" w:cstheme="majorBidi"/>
          <w:sz w:val="22"/>
          <w:szCs w:val="22"/>
          <w:shd w:val="clear" w:color="auto" w:fill="FFFFFF"/>
          <w:lang w:val="en-ID"/>
        </w:rPr>
        <w:t>tersebut</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masih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perlu</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dianalisis</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lebih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lanjut</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Adanya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perbedaan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kebutuhan</w:t>
      </w:r>
      <w:proofErr w:type="spellEnd"/>
      <w:r w:rsidRPr="00E3378B">
        <w:rPr>
          <w:rFonts w:ascii="Palatino Linotype" w:hAnsi="Palatino Linotype" w:cstheme="majorBidi"/>
          <w:sz w:val="22"/>
          <w:szCs w:val="22"/>
          <w:shd w:val="clear" w:color="auto" w:fill="FFFFFF"/>
          <w:lang w:val="en-ID"/>
        </w:rPr>
        <w:t xml:space="preserve"> guru di </w:t>
      </w:r>
      <w:proofErr w:type="spellStart"/>
      <w:r w:rsidRPr="00E3378B">
        <w:rPr>
          <w:rFonts w:ascii="Palatino Linotype" w:hAnsi="Palatino Linotype" w:cstheme="majorBidi"/>
          <w:sz w:val="22"/>
          <w:szCs w:val="22"/>
          <w:shd w:val="clear" w:color="auto" w:fill="FFFFFF"/>
          <w:lang w:val="en-ID"/>
        </w:rPr>
        <w:t>setiap</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sekolah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serta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tantangan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dalam</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mengadaptasi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teknologi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menangani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siswa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berkebutuhan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khusus</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mengharuskan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diklat</w:t>
      </w:r>
      <w:proofErr w:type="spellEnd"/>
      <w:r w:rsidRPr="00E3378B">
        <w:rPr>
          <w:rFonts w:ascii="Palatino Linotype" w:hAnsi="Palatino Linotype" w:cstheme="majorBidi"/>
          <w:sz w:val="22"/>
          <w:szCs w:val="22"/>
          <w:shd w:val="clear" w:color="auto" w:fill="FFFFFF"/>
          <w:lang w:val="en-ID"/>
        </w:rPr>
        <w:t xml:space="preserve"> yang </w:t>
      </w:r>
      <w:proofErr w:type="spellStart"/>
      <w:r w:rsidRPr="00E3378B">
        <w:rPr>
          <w:rFonts w:ascii="Palatino Linotype" w:hAnsi="Palatino Linotype" w:cstheme="majorBidi"/>
          <w:sz w:val="22"/>
          <w:szCs w:val="22"/>
          <w:shd w:val="clear" w:color="auto" w:fill="FFFFFF"/>
          <w:lang w:val="en-ID"/>
        </w:rPr>
        <w:t>diberikan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harus</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lebih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terfokus</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sesuai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dengan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kebutuhan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spesifik</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sekolah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Oleh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karena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itu</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penelitian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ini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penting</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untuk</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dilakukan</w:t>
      </w:r>
      <w:proofErr w:type="spellEnd"/>
      <w:r w:rsidRPr="00E3378B">
        <w:rPr>
          <w:rFonts w:ascii="Palatino Linotype" w:hAnsi="Palatino Linotype" w:cstheme="majorBidi"/>
          <w:sz w:val="22"/>
          <w:szCs w:val="22"/>
          <w:shd w:val="clear" w:color="auto" w:fill="FFFFFF"/>
          <w:lang w:val="en-ID"/>
        </w:rPr>
        <w:t xml:space="preserve">, agar </w:t>
      </w:r>
      <w:proofErr w:type="spellStart"/>
      <w:r w:rsidRPr="00E3378B">
        <w:rPr>
          <w:rFonts w:ascii="Palatino Linotype" w:hAnsi="Palatino Linotype" w:cstheme="majorBidi"/>
          <w:sz w:val="22"/>
          <w:szCs w:val="22"/>
          <w:shd w:val="clear" w:color="auto" w:fill="FFFFFF"/>
          <w:lang w:val="en-ID"/>
        </w:rPr>
        <w:t>dapat</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mengevaluasi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sejauh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mana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tujuan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materi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diklat</w:t>
      </w:r>
      <w:proofErr w:type="spellEnd"/>
      <w:r w:rsidRPr="00E3378B">
        <w:rPr>
          <w:rFonts w:ascii="Palatino Linotype" w:hAnsi="Palatino Linotype" w:cstheme="majorBidi"/>
          <w:sz w:val="22"/>
          <w:szCs w:val="22"/>
          <w:shd w:val="clear" w:color="auto" w:fill="FFFFFF"/>
          <w:lang w:val="en-ID"/>
        </w:rPr>
        <w:t xml:space="preserve"> di SMP </w:t>
      </w:r>
      <w:proofErr w:type="spellStart"/>
      <w:r w:rsidRPr="00E3378B">
        <w:rPr>
          <w:rFonts w:ascii="Palatino Linotype" w:hAnsi="Palatino Linotype" w:cstheme="majorBidi"/>
          <w:sz w:val="22"/>
          <w:szCs w:val="22"/>
          <w:shd w:val="clear" w:color="auto" w:fill="FFFFFF"/>
          <w:lang w:val="en-ID"/>
        </w:rPr>
        <w:t>Negeri</w:t>
      </w:r>
      <w:proofErr w:type="spellEnd"/>
      <w:r w:rsidRPr="00E3378B">
        <w:rPr>
          <w:rFonts w:ascii="Palatino Linotype" w:hAnsi="Palatino Linotype" w:cstheme="majorBidi"/>
          <w:sz w:val="22"/>
          <w:szCs w:val="22"/>
          <w:shd w:val="clear" w:color="auto" w:fill="FFFFFF"/>
          <w:lang w:val="en-ID"/>
        </w:rPr>
        <w:t xml:space="preserve"> 2 </w:t>
      </w:r>
      <w:proofErr w:type="spellStart"/>
      <w:r w:rsidRPr="00E3378B">
        <w:rPr>
          <w:rFonts w:ascii="Palatino Linotype" w:hAnsi="Palatino Linotype" w:cstheme="majorBidi"/>
          <w:sz w:val="22"/>
          <w:szCs w:val="22"/>
          <w:shd w:val="clear" w:color="auto" w:fill="FFFFFF"/>
          <w:lang w:val="en-ID"/>
        </w:rPr>
        <w:t>Batu</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Belah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relevan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dengan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kebutuhan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aktual</w:t>
      </w:r>
      <w:proofErr w:type="spellEnd"/>
      <w:r w:rsidRPr="00E3378B">
        <w:rPr>
          <w:rFonts w:ascii="Palatino Linotype" w:hAnsi="Palatino Linotype" w:cstheme="majorBidi"/>
          <w:sz w:val="22"/>
          <w:szCs w:val="22"/>
          <w:shd w:val="clear" w:color="auto" w:fill="FFFFFF"/>
          <w:lang w:val="en-ID"/>
        </w:rPr>
        <w:t xml:space="preserve"> guru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sekolah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Penelitian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ini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juga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bertujuan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untuk</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memberikan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rekomendasi</w:t>
      </w:r>
      <w:proofErr w:type="spellEnd"/>
      <w:r w:rsidRPr="00E3378B">
        <w:rPr>
          <w:rFonts w:ascii="Palatino Linotype" w:hAnsi="Palatino Linotype" w:cstheme="majorBidi"/>
          <w:sz w:val="22"/>
          <w:szCs w:val="22"/>
          <w:shd w:val="clear" w:color="auto" w:fill="FFFFFF"/>
          <w:lang w:val="en-ID"/>
        </w:rPr>
        <w:t xml:space="preserve"> yang </w:t>
      </w:r>
      <w:proofErr w:type="spellStart"/>
      <w:r w:rsidRPr="00E3378B">
        <w:rPr>
          <w:rFonts w:ascii="Palatino Linotype" w:hAnsi="Palatino Linotype" w:cstheme="majorBidi"/>
          <w:sz w:val="22"/>
          <w:szCs w:val="22"/>
          <w:shd w:val="clear" w:color="auto" w:fill="FFFFFF"/>
          <w:lang w:val="en-ID"/>
        </w:rPr>
        <w:t>dapat</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membantu</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pihak</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sekolah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pemerintah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dalam</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merancang</w:t>
      </w:r>
      <w:proofErr w:type="spellEnd"/>
      <w:r w:rsidRPr="00E3378B">
        <w:rPr>
          <w:rFonts w:ascii="Palatino Linotype" w:hAnsi="Palatino Linotype" w:cstheme="majorBidi"/>
          <w:sz w:val="22"/>
          <w:szCs w:val="22"/>
          <w:shd w:val="clear" w:color="auto" w:fill="FFFFFF"/>
          <w:lang w:val="en-ID"/>
        </w:rPr>
        <w:t xml:space="preserve"> program </w:t>
      </w:r>
      <w:proofErr w:type="spellStart"/>
      <w:r w:rsidRPr="00E3378B">
        <w:rPr>
          <w:rFonts w:ascii="Palatino Linotype" w:hAnsi="Palatino Linotype" w:cstheme="majorBidi"/>
          <w:sz w:val="22"/>
          <w:szCs w:val="22"/>
          <w:shd w:val="clear" w:color="auto" w:fill="FFFFFF"/>
          <w:lang w:val="en-ID"/>
        </w:rPr>
        <w:t>diklat</w:t>
      </w:r>
      <w:proofErr w:type="spellEnd"/>
      <w:r w:rsidRPr="00E3378B">
        <w:rPr>
          <w:rFonts w:ascii="Palatino Linotype" w:hAnsi="Palatino Linotype" w:cstheme="majorBidi"/>
          <w:sz w:val="22"/>
          <w:szCs w:val="22"/>
          <w:shd w:val="clear" w:color="auto" w:fill="FFFFFF"/>
          <w:lang w:val="en-ID"/>
        </w:rPr>
        <w:t xml:space="preserve"> yang </w:t>
      </w:r>
      <w:proofErr w:type="spellStart"/>
      <w:r w:rsidRPr="00E3378B">
        <w:rPr>
          <w:rFonts w:ascii="Palatino Linotype" w:hAnsi="Palatino Linotype" w:cstheme="majorBidi"/>
          <w:sz w:val="22"/>
          <w:szCs w:val="22"/>
          <w:shd w:val="clear" w:color="auto" w:fill="FFFFFF"/>
          <w:lang w:val="en-ID"/>
        </w:rPr>
        <w:t>lebih</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efektif</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bermanfaat</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bagi</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pengembangan</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kompetensi</w:t>
      </w:r>
      <w:proofErr w:type="spellEnd"/>
      <w:r w:rsidRPr="00E3378B">
        <w:rPr>
          <w:rFonts w:ascii="Palatino Linotype" w:hAnsi="Palatino Linotype" w:cstheme="majorBidi"/>
          <w:sz w:val="22"/>
          <w:szCs w:val="22"/>
          <w:shd w:val="clear" w:color="auto" w:fill="FFFFFF"/>
          <w:lang w:val="en-ID"/>
        </w:rPr>
        <w:t xml:space="preserve"> guru di </w:t>
      </w:r>
      <w:proofErr w:type="spellStart"/>
      <w:r w:rsidRPr="00E3378B">
        <w:rPr>
          <w:rFonts w:ascii="Palatino Linotype" w:hAnsi="Palatino Linotype" w:cstheme="majorBidi"/>
          <w:sz w:val="22"/>
          <w:szCs w:val="22"/>
          <w:shd w:val="clear" w:color="auto" w:fill="FFFFFF"/>
          <w:lang w:val="en-ID"/>
        </w:rPr>
        <w:t>masa</w:t>
      </w:r>
      <w:proofErr w:type="spellEnd"/>
      <w:r w:rsidRPr="00E3378B">
        <w:rPr>
          <w:rFonts w:ascii="Palatino Linotype" w:hAnsi="Palatino Linotype" w:cstheme="majorBidi"/>
          <w:sz w:val="22"/>
          <w:szCs w:val="22"/>
          <w:shd w:val="clear" w:color="auto" w:fill="FFFFFF"/>
          <w:lang w:val="en-ID"/>
        </w:rPr>
        <w:t xml:space="preserve"> </w:t>
      </w:r>
      <w:proofErr w:type="spellStart"/>
      <w:r w:rsidRPr="00E3378B">
        <w:rPr>
          <w:rFonts w:ascii="Palatino Linotype" w:hAnsi="Palatino Linotype" w:cstheme="majorBidi"/>
          <w:sz w:val="22"/>
          <w:szCs w:val="22"/>
          <w:shd w:val="clear" w:color="auto" w:fill="FFFFFF"/>
          <w:lang w:val="en-ID"/>
        </w:rPr>
        <w:t>depan</w:t>
      </w:r>
      <w:proofErr w:type="spellEnd"/>
    </w:p>
    <w:p w14:paraId="74D42B51" w14:textId="77777777" w:rsidR="00E3378B" w:rsidRDefault="00E3378B" w:rsidP="00E3378B">
      <w:pPr>
        <w:shd w:val="clear" w:color="auto" w:fill="FFFFFF"/>
        <w:spacing w:line="360" w:lineRule="auto"/>
        <w:ind w:firstLine="720"/>
        <w:jc w:val="both"/>
        <w:rPr>
          <w:rFonts w:ascii="Palatino Linotype" w:eastAsia="Palatino Linotype" w:hAnsi="Palatino Linotype" w:cs="Palatino Linotype"/>
          <w:sz w:val="22"/>
          <w:szCs w:val="22"/>
        </w:rPr>
      </w:pPr>
    </w:p>
    <w:p w14:paraId="7B2E4A8A" w14:textId="77777777" w:rsidR="00865A94" w:rsidRPr="00FE0B5C" w:rsidRDefault="00865A94" w:rsidP="00865A94">
      <w:pPr>
        <w:spacing w:line="360" w:lineRule="auto"/>
        <w:jc w:val="both"/>
        <w:rPr>
          <w:rFonts w:ascii="Palatino Linotype" w:eastAsia="Palatino Linotype" w:hAnsi="Palatino Linotype" w:cs="Palatino Linotype"/>
          <w:b/>
          <w:sz w:val="22"/>
        </w:rPr>
      </w:pPr>
      <w:r w:rsidRPr="00FE0B5C">
        <w:rPr>
          <w:rFonts w:ascii="Palatino Linotype" w:eastAsia="Palatino Linotype" w:hAnsi="Palatino Linotype" w:cs="Palatino Linotype"/>
          <w:b/>
          <w:sz w:val="22"/>
        </w:rPr>
        <w:t>METODE</w:t>
      </w:r>
    </w:p>
    <w:p w14:paraId="6AD74052" w14:textId="77777777" w:rsidR="00E3378B" w:rsidRPr="00E3378B" w:rsidRDefault="00E3378B" w:rsidP="00E3378B">
      <w:pPr>
        <w:spacing w:line="360" w:lineRule="auto"/>
        <w:ind w:right="-40" w:firstLine="720"/>
        <w:jc w:val="both"/>
        <w:rPr>
          <w:rFonts w:ascii="Palatino Linotype" w:eastAsia="Arial" w:hAnsi="Palatino Linotype" w:cstheme="majorBidi"/>
          <w:sz w:val="22"/>
          <w:szCs w:val="22"/>
          <w:lang w:val="id-ID"/>
        </w:rPr>
      </w:pPr>
      <w:r w:rsidRPr="00E3378B">
        <w:rPr>
          <w:rFonts w:ascii="Palatino Linotype" w:eastAsia="Arial" w:hAnsi="Palatino Linotype" w:cstheme="majorBidi"/>
          <w:sz w:val="22"/>
          <w:szCs w:val="22"/>
          <w:lang w:val="id-ID"/>
        </w:rPr>
        <w:t xml:space="preserve">Penelitian ini menggunakan pendekatan kualitatif dengan desain studi kasus untuk menggali relevansi materi dan tujuan dalam program diklat guru di SMP Negeri 2 Batu Belah. Sumber data utama yang digunakan adalah para guru yang telah mengikuti program diklat di sekolah tersebut. Data tambahan akan dikumpulkan melalui observasi terhadap proses pelaksanaan diklat dan dokumentasi yang terkait dengan materi serta evaluasi program diklat. Teknik pengumpulan data yang digunakan meliputi wawancara mendalam dengan sejumlah guru, observasi langsung terhadap jalannya diklat, dan analisis dokumen terkait kurikulum, modul pelatihan, serta hasil evaluasi program diklat </w:t>
      </w:r>
      <w:r w:rsidRPr="00E3378B">
        <w:rPr>
          <w:rStyle w:val="FootnoteReference"/>
          <w:rFonts w:ascii="Palatino Linotype" w:eastAsia="Arial" w:hAnsi="Palatino Linotype" w:cstheme="majorBidi"/>
          <w:sz w:val="22"/>
          <w:szCs w:val="22"/>
          <w:lang w:val="id-ID"/>
        </w:rPr>
        <w:footnoteReference w:id="8"/>
      </w:r>
      <w:r w:rsidRPr="00E3378B">
        <w:rPr>
          <w:rFonts w:ascii="Palatino Linotype" w:eastAsia="Arial" w:hAnsi="Palatino Linotype" w:cstheme="majorBidi"/>
          <w:sz w:val="22"/>
          <w:szCs w:val="22"/>
          <w:lang w:val="id-ID"/>
        </w:rPr>
        <w:t>.</w:t>
      </w:r>
    </w:p>
    <w:p w14:paraId="5ECB704A" w14:textId="5CA257AA" w:rsidR="00E3378B" w:rsidRPr="00E3378B" w:rsidRDefault="00E3378B" w:rsidP="00E3378B">
      <w:pPr>
        <w:spacing w:line="360" w:lineRule="auto"/>
        <w:ind w:right="-40" w:firstLine="720"/>
        <w:jc w:val="both"/>
        <w:rPr>
          <w:rFonts w:ascii="Palatino Linotype" w:eastAsia="Arial" w:hAnsi="Palatino Linotype" w:cstheme="majorBidi"/>
          <w:sz w:val="22"/>
          <w:szCs w:val="22"/>
          <w:lang w:val="id-ID"/>
        </w:rPr>
      </w:pPr>
      <w:r w:rsidRPr="00E3378B">
        <w:rPr>
          <w:rFonts w:ascii="Palatino Linotype" w:eastAsia="Arial" w:hAnsi="Palatino Linotype" w:cstheme="majorBidi"/>
          <w:sz w:val="22"/>
          <w:szCs w:val="22"/>
          <w:lang w:val="id-ID"/>
        </w:rPr>
        <w:t xml:space="preserve">Data yang terkumpul akan dianalisis dengan teknik analisis tematik, di mana data dari wawancara, observasi, dan dokumen akan dikodekan dan dikelompokkan berdasarkan tema atau kategori yang muncul. Teknik ini bertujuan untuk menggambarkan hubungan antara tujuan diklat, materi yang diajarkan, dan kebutuhan kompetensi guru dalam praktik pengajaran mereka. Untuk memastikan validitas data, penelitian ini akan menggunakan triangulasi, yaitu membandingkan hasil dari berbagai sumber data yang berbeda. Selain itu, keandalan data akan dijaga dengan audit trail, di mana setiap langkah dalam pengumpulan dan analisis data dicatat secara rinci untuk memastikan transparansi dan keterulangan temuan </w:t>
      </w:r>
      <w:r w:rsidRPr="00E3378B">
        <w:rPr>
          <w:rStyle w:val="FootnoteReference"/>
          <w:rFonts w:ascii="Palatino Linotype" w:eastAsia="Arial" w:hAnsi="Palatino Linotype" w:cstheme="majorBidi"/>
          <w:sz w:val="22"/>
          <w:szCs w:val="22"/>
          <w:lang w:val="id-ID"/>
        </w:rPr>
        <w:footnoteReference w:id="9"/>
      </w:r>
      <w:r w:rsidRPr="00E3378B">
        <w:rPr>
          <w:rFonts w:ascii="Palatino Linotype" w:eastAsia="Arial" w:hAnsi="Palatino Linotype" w:cstheme="majorBidi"/>
          <w:sz w:val="22"/>
          <w:szCs w:val="22"/>
          <w:lang w:val="id-ID"/>
        </w:rPr>
        <w:t>.</w:t>
      </w:r>
    </w:p>
    <w:p w14:paraId="5B0A0958" w14:textId="77777777" w:rsidR="00E3378B" w:rsidRPr="00A03C75" w:rsidRDefault="00E3378B" w:rsidP="00E3378B">
      <w:pPr>
        <w:spacing w:line="360" w:lineRule="auto"/>
        <w:ind w:right="-40" w:firstLine="720"/>
        <w:jc w:val="both"/>
        <w:rPr>
          <w:rFonts w:asciiTheme="majorBidi" w:eastAsia="Arial" w:hAnsiTheme="majorBidi" w:cstheme="majorBidi"/>
          <w:szCs w:val="24"/>
          <w:lang w:val="id-ID"/>
        </w:rPr>
      </w:pPr>
    </w:p>
    <w:p w14:paraId="45ECDFD5" w14:textId="77777777" w:rsidR="00865A94" w:rsidRPr="00200F09" w:rsidRDefault="00865A94" w:rsidP="00865A94">
      <w:pPr>
        <w:spacing w:before="240" w:after="240"/>
        <w:jc w:val="both"/>
        <w:rPr>
          <w:rFonts w:ascii="Palatino Linotype" w:eastAsia="Palatino Linotype" w:hAnsi="Palatino Linotype" w:cs="Palatino Linotype"/>
          <w:iCs/>
          <w:sz w:val="22"/>
          <w:lang w:val="id-ID"/>
        </w:rPr>
      </w:pPr>
      <w:r w:rsidRPr="00200F09">
        <w:rPr>
          <w:rFonts w:ascii="Palatino Linotype" w:eastAsia="Palatino Linotype" w:hAnsi="Palatino Linotype" w:cs="Palatino Linotype"/>
          <w:b/>
          <w:sz w:val="22"/>
          <w:lang w:val="id-ID"/>
        </w:rPr>
        <w:t>HASIL DAN PEMBAHASAN</w:t>
      </w:r>
    </w:p>
    <w:p w14:paraId="340E9995"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id-ID"/>
        </w:rPr>
        <w:lastRenderedPageBreak/>
        <w:t xml:space="preserve">Hasil temuan penelit menunjukkan bahwa program diklat guru di SMP Negeri 2 Batu Belah memiliki sejumlah manfaat namun juga terdapat beberapa faktor penghambat yang memengaruhi efektivitasnya. </w:t>
      </w:r>
      <w:r w:rsidRPr="00E3378B">
        <w:rPr>
          <w:rFonts w:ascii="Palatino Linotype" w:hAnsi="Palatino Linotype" w:cstheme="majorBidi"/>
          <w:sz w:val="22"/>
          <w:szCs w:val="22"/>
          <w:shd w:val="clear" w:color="auto" w:fill="FFFFFF"/>
          <w:lang w:val="sv-SE"/>
        </w:rPr>
        <w:t>Secara umum, para peserta diklat mengungkapkan bahwa materi yang disampaikan masih bersifat teoretis dan kurang relevan dengan tantangan yang mereka hadapi di lapangan. Meskipun materi yang disampaikan mencakup berbagai aspek penting dalam kompetensi guru, terutama dalam hal pedagogik dan profesionalisme, masih ada kekurangan dalam hal penerapan praktis yang sesuai dengan konteks kelas yang nyata. Banyak guru menginginkan pelatihan yang lebih berorientasi pada penerapan teknologi digital, pengelolaan kelas yang efektif, serta strategi pengajaran yang dapat langsung diterapkan dalam kegiatan belajar mengajar mereka.</w:t>
      </w:r>
    </w:p>
    <w:p w14:paraId="2F26C7EA"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Salah satu faktor penghambat utama yang ditemukan adalah terbatasnya pengetahuan dan keterampilan dalam penggunaan teknologi digital yang relevan dengan kebutuhan pengajaran saat ini. Meskipun ada materi mengenai pemanfaatan teknologi dalam pembelajaran, pelatihan yang diberikan tidak cukup mendalam dan tidak sesuai dengan perkembangan teknologi terkini. Sebagian besar guru merasa bahwa pelatihan tersebut tidak cukup memberikan panduan praktis dalam menggunakan alat digital yang dapat mendukung proses pembelajaran yang lebih interaktif dan efektif. Hal ini mengindikasikan perlunya pembaruan materi diklat agar lebih menyasar pada penggunaan teknologi digital dalam pengajaran, termasuk pengenalan aplikasi pembelajaran, manajemen pembelajaran daring, dan pengintegrasian teknologi dalam proses pembelajaran harian.</w:t>
      </w:r>
    </w:p>
    <w:p w14:paraId="7DD02D3A"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Selain itu, hasil observasi terhadap pelaksanaan diklat mengungkapkan bahwa sebagian besar sesi lebih berfokus pada teori pedagogik dasar, tanpa memberikan cukup ruang bagi guru untuk melatih keterampilan praktis yang dapat langsung diterapkan di kelas. Guru mengungkapkan bahwa mereka membutuhkan lebih banyak latihan mengenai cara-cara mengelola kelas dengan jumlah siswa yang besar, mengatasi masalah disiplin, dan memberikan perhatian kepada siswa dengan kebutuhan belajar yang beragam. Salah satu faktor penghambat lainnya adalah kurangnya evaluasi dan umpan balik yang konstruktif selama diklat. Hal ini menyebabkan peserta tidak dapat mengetahui sejauh mana mereka telah menguasai materi yang diajarkan, serta bagaimana mereka dapat memperbaiki metode pengajaran mereka setelah mengikuti pelatihan.</w:t>
      </w:r>
    </w:p>
    <w:p w14:paraId="36640661"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Keterbatasan waktu juga menjadi faktor penghambat lain yang dihadapi dalam program </w:t>
      </w:r>
      <w:r w:rsidRPr="00E3378B">
        <w:rPr>
          <w:rFonts w:ascii="Palatino Linotype" w:hAnsi="Palatino Linotype" w:cstheme="majorBidi"/>
          <w:sz w:val="22"/>
          <w:szCs w:val="22"/>
          <w:shd w:val="clear" w:color="auto" w:fill="FFFFFF"/>
          <w:lang w:val="sv-SE"/>
        </w:rPr>
        <w:lastRenderedPageBreak/>
        <w:t>diklat. Banyak guru merasa bahwa durasi pelatihan yang ada tidak mencukupi untuk menguasai seluruh materi yang diberikan, terutama jika berkaitan dengan keterampilan praktis yang memerlukan waktu latihan lebih panjang. Program diklat yang terbatas waktu juga tidak memberikan cukup kesempatan bagi guru untuk mengeksplorasi dan menerapkan materi secara langsung dalam konteks kelas mereka. Oleh karena itu, banyak guru yang merasa kesulitan untuk mengimplementasikan pengetahuan yang diperoleh dari diklat dalam pengajaran sehari-hari.</w:t>
      </w:r>
    </w:p>
    <w:p w14:paraId="365577E7"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Hasil analisis dokumen program diklat juga menunjukkan bahwa materi yang disampaikan belum mengalami pembaruan signifikan selama beberapa tahun terakhir. Modul-modul yang digunakan masih berfokus pada teori-teori dasar dalam pedagogik dan pendidikan, tanpa memperbarui materi terkait perkembangan terbaru dalam teknologi pendidikan dan metodologi pengajaran. Hal ini menunjukkan bahwa pembaruan modul dan kurikulum diklat sangat diperlukan agar lebih relevan dengan kebutuhan pengajaran modern yang terus berkembang.</w:t>
      </w:r>
    </w:p>
    <w:p w14:paraId="07E5A965"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Evaluasi terhadap program diklat juga mengungkapkan bahwa banyak guru merasa program diklat tidak sepenuhnya sesuai dengan tantangan yang mereka hadapi di kelas. Banyak yang menginginkan pelatihan yang lebih berfokus pada praktik nyata, seperti pengelolaan kelas yang efektif, penggunaan teknologi dalam pembelajaran, serta strategi untuk menangani siswa dengan kemampuan yang beragam. Evaluasi ini menunjukkan adanya kesenjangan antara tujuan diklat dengan ekspektasi peserta, yang menginginkan pelatihan yang lebih terfokus pada keterampilan praktis.</w:t>
      </w:r>
    </w:p>
    <w:p w14:paraId="10A03E51"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Hal ini menunjukkan bahwa meskipun program diklat memiliki potensi untuk meningkatkan kompetensi guru, beberapa faktor penghambat seperti terbatasnya materi yang relevan, kurangnya evaluasi, dan keterbatasan waktu menjadi kendala yang perlu diperhatikan. Oleh karena itu, disarankan agar program diklat di SMP Negeri 2 Batu Belah diperbarui dengan materi yang lebih aplikatif, termasuk pengenalan teknologi digital dalam pengajaran, serta memberikan lebih banyak kesempatan bagi guru untuk berlatih dan mendapatkan umpan balik yang konstruktif. Program diklat juga perlu memperpanjang durasi pelatihan agar para peserta dapat lebih mendalami materi dan mengaplikasikannya secara langsung dalam konteks kelas mereka.</w:t>
      </w:r>
    </w:p>
    <w:p w14:paraId="6E836CDC"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Berdasarkan temuan dari penelitian ini, relevansi tujuan dan materi dalam diklat guru di </w:t>
      </w:r>
      <w:r w:rsidRPr="00E3378B">
        <w:rPr>
          <w:rFonts w:ascii="Palatino Linotype" w:hAnsi="Palatino Linotype" w:cstheme="majorBidi"/>
          <w:sz w:val="22"/>
          <w:szCs w:val="22"/>
          <w:shd w:val="clear" w:color="auto" w:fill="FFFFFF"/>
          <w:lang w:val="sv-SE"/>
        </w:rPr>
        <w:lastRenderedPageBreak/>
        <w:t xml:space="preserve">SMP Negeri 2 Batu Belah dapat dianalisis lebih mendalam. Menurut </w:t>
      </w:r>
      <w:r w:rsidRPr="00E3378B">
        <w:rPr>
          <w:rStyle w:val="FootnoteReference"/>
          <w:rFonts w:ascii="Palatino Linotype" w:hAnsi="Palatino Linotype" w:cstheme="majorBidi"/>
          <w:sz w:val="22"/>
          <w:szCs w:val="22"/>
          <w:shd w:val="clear" w:color="auto" w:fill="FFFFFF"/>
          <w:lang w:val="id-ID"/>
        </w:rPr>
        <w:footnoteReference w:id="10"/>
      </w:r>
      <w:r w:rsidRPr="00E3378B">
        <w:rPr>
          <w:rFonts w:ascii="Palatino Linotype" w:hAnsi="Palatino Linotype" w:cstheme="majorBidi"/>
          <w:sz w:val="22"/>
          <w:szCs w:val="22"/>
          <w:shd w:val="clear" w:color="auto" w:fill="FFFFFF"/>
          <w:lang w:val="id-ID"/>
        </w:rPr>
        <w:t xml:space="preserve"> </w:t>
      </w:r>
      <w:r w:rsidRPr="00E3378B">
        <w:rPr>
          <w:rFonts w:ascii="Palatino Linotype" w:hAnsi="Palatino Linotype" w:cstheme="majorBidi"/>
          <w:sz w:val="22"/>
          <w:szCs w:val="22"/>
          <w:shd w:val="clear" w:color="auto" w:fill="FFFFFF"/>
          <w:lang w:val="sv-SE"/>
        </w:rPr>
        <w:t xml:space="preserve">Tujuan utama dari diklat ini adalah untuk meningkatkan kompetensi dan profesionalisme guru, yang menjadi kunci utama dalam meningkatkan kualitas pengajaran dan pembelajaran di sekolah. Hal ini sejalan dengan temuan yang menyatakan bahwa pelatihan dan pengembangan profesional guru sangat penting untuk memperbarui pengetahuan dan keterampilan mereka, serta membantu mereka mengadopsi strategi pengajaran yang lebih efektif </w:t>
      </w:r>
      <w:r w:rsidRPr="00E3378B">
        <w:rPr>
          <w:rStyle w:val="FootnoteReference"/>
          <w:rFonts w:ascii="Palatino Linotype" w:hAnsi="Palatino Linotype" w:cstheme="majorBidi"/>
          <w:sz w:val="22"/>
          <w:szCs w:val="22"/>
          <w:shd w:val="clear" w:color="auto" w:fill="FFFFFF"/>
          <w:lang w:val="id-ID"/>
        </w:rPr>
        <w:footnoteReference w:id="11"/>
      </w:r>
      <w:r w:rsidRPr="00E3378B">
        <w:rPr>
          <w:rFonts w:ascii="Palatino Linotype" w:hAnsi="Palatino Linotype" w:cstheme="majorBidi"/>
          <w:sz w:val="22"/>
          <w:szCs w:val="22"/>
          <w:shd w:val="clear" w:color="auto" w:fill="FFFFFF"/>
          <w:lang w:val="sv-SE"/>
        </w:rPr>
        <w:t>.</w:t>
      </w:r>
    </w:p>
    <w:p w14:paraId="42F4200B"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Hasil penelitian ini juga menunjukkan bahwa meskipun tujuan diklat sudah sesuai cukup efektif dalam relevansinya, ada beberapa faktor penghambat yang mempengaruhi pencapaian tujuan tersebut. Salah satu faktor utama adalah ketidaksesuaian antara materi yang diajarkan dengan tantangan nyata yang dihadapi oleh guru di lapangan. Beberapa guru mengungkapkan bahwa materi diklat lebih berfokus pada teori dan kurang memberikan kesempatan untuk mengembangkan keterampilan praktis yang dibutuhkan di kelas. Padahal, menurut </w:t>
      </w:r>
      <w:r w:rsidRPr="00E3378B">
        <w:rPr>
          <w:rStyle w:val="FootnoteReference"/>
          <w:rFonts w:ascii="Palatino Linotype" w:hAnsi="Palatino Linotype" w:cstheme="majorBidi"/>
          <w:sz w:val="22"/>
          <w:szCs w:val="22"/>
          <w:shd w:val="clear" w:color="auto" w:fill="FFFFFF"/>
          <w:lang w:val="id-ID"/>
        </w:rPr>
        <w:footnoteReference w:id="12"/>
      </w:r>
      <w:r w:rsidRPr="00E3378B">
        <w:rPr>
          <w:rFonts w:ascii="Palatino Linotype" w:hAnsi="Palatino Linotype" w:cstheme="majorBidi"/>
          <w:sz w:val="22"/>
          <w:szCs w:val="22"/>
          <w:shd w:val="clear" w:color="auto" w:fill="FFFFFF"/>
          <w:lang w:val="sv-SE"/>
        </w:rPr>
        <w:t>, peningkatan kompetensi pedagogik yang meliputi manajemen kelas, strategi pengajaran yang efektif, dan evaluasi pembelajaran yang tepat sangat penting agar guru dapat menciptakan lingkungan pembelajaran yang kondusif dan mendukung perkembangan siswa.</w:t>
      </w:r>
    </w:p>
    <w:p w14:paraId="2A7E2408" w14:textId="77777777" w:rsidR="00E3378B" w:rsidRPr="00E3378B" w:rsidRDefault="00E3378B" w:rsidP="00E3378B">
      <w:pPr>
        <w:spacing w:line="360" w:lineRule="auto"/>
        <w:rPr>
          <w:rFonts w:ascii="Palatino Linotype" w:hAnsi="Palatino Linotype" w:cstheme="majorBidi"/>
          <w:sz w:val="22"/>
          <w:szCs w:val="22"/>
          <w:shd w:val="clear" w:color="auto" w:fill="FFFFFF"/>
          <w:lang w:val="sv-SE"/>
        </w:rPr>
      </w:pPr>
      <w:r w:rsidRPr="00E3378B">
        <w:rPr>
          <w:rFonts w:ascii="Palatino Linotype" w:hAnsi="Palatino Linotype" w:cstheme="majorBidi"/>
          <w:b/>
          <w:bCs/>
          <w:sz w:val="22"/>
          <w:szCs w:val="22"/>
          <w:shd w:val="clear" w:color="auto" w:fill="FFFFFF"/>
          <w:lang w:val="sv-SE"/>
        </w:rPr>
        <w:t>Materi Diklat Guru di SMP Negeri 2 Batu Belah</w:t>
      </w:r>
    </w:p>
    <w:p w14:paraId="44391F2C"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Menurut penelitian oleh </w:t>
      </w:r>
      <w:r w:rsidRPr="00E3378B">
        <w:rPr>
          <w:rStyle w:val="FootnoteReference"/>
          <w:rFonts w:ascii="Palatino Linotype" w:hAnsi="Palatino Linotype" w:cstheme="majorBidi"/>
          <w:sz w:val="22"/>
          <w:szCs w:val="22"/>
          <w:shd w:val="clear" w:color="auto" w:fill="FFFFFF"/>
          <w:lang w:val="id-ID"/>
        </w:rPr>
        <w:footnoteReference w:id="13"/>
      </w:r>
      <w:r w:rsidRPr="00E3378B">
        <w:rPr>
          <w:rFonts w:ascii="Palatino Linotype" w:hAnsi="Palatino Linotype" w:cstheme="majorBidi"/>
          <w:sz w:val="22"/>
          <w:szCs w:val="22"/>
          <w:shd w:val="clear" w:color="auto" w:fill="FFFFFF"/>
          <w:lang w:val="sv-SE"/>
        </w:rPr>
        <w:t>,dengan hasil temuan terhadap materi diklat di SMP Negeri 2 Batu Belah seharusnya mencakup beberapa aspek penting yang berhubungan dengan kompetensi pedagogik, profesional, sosial, serta kemampuan dalam mengelola keberagaman dan teknologi dalam pembelajaran. Meskipun demikian, hasil observasi menunjukkan bahwa sebagian besar materi yang diberikan dalam diklat belum sepenuhnya sesuai dengan kebutuhan guru, terutama dalam menghadapi tantangan pendidikan saat ini, seperti pemanfaatan teknologi dalam pengajaran dan pengelolaan kelas yang efektif.</w:t>
      </w:r>
    </w:p>
    <w:p w14:paraId="5E6DB3C6" w14:textId="77777777" w:rsidR="00E3378B" w:rsidRPr="00E3378B" w:rsidRDefault="00E3378B" w:rsidP="00E3378B">
      <w:pPr>
        <w:widowControl/>
        <w:numPr>
          <w:ilvl w:val="0"/>
          <w:numId w:val="5"/>
        </w:numPr>
        <w:spacing w:line="360" w:lineRule="auto"/>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Peningkatan Kompetensi Pedagogik: Berdasarkan teori yang ada, kompetensi pedagogik, termasuk kemampuan dalam merencanakan, melaksanakan, dan mengevaluasi pembelajaran, sangat penting bagi seorang guru </w:t>
      </w:r>
      <w:r w:rsidRPr="00E3378B">
        <w:rPr>
          <w:rStyle w:val="FootnoteReference"/>
          <w:rFonts w:ascii="Palatino Linotype" w:hAnsi="Palatino Linotype" w:cstheme="majorBidi"/>
          <w:sz w:val="22"/>
          <w:szCs w:val="22"/>
          <w:shd w:val="clear" w:color="auto" w:fill="FFFFFF"/>
          <w:lang w:val="id-ID"/>
        </w:rPr>
        <w:footnoteReference w:id="14"/>
      </w:r>
      <w:r w:rsidRPr="00E3378B">
        <w:rPr>
          <w:rFonts w:ascii="Palatino Linotype" w:hAnsi="Palatino Linotype" w:cstheme="majorBidi"/>
          <w:sz w:val="22"/>
          <w:szCs w:val="22"/>
          <w:shd w:val="clear" w:color="auto" w:fill="FFFFFF"/>
          <w:lang w:val="sv-SE"/>
        </w:rPr>
        <w:t xml:space="preserve">. Namun, dalam praktiknya, diklat di </w:t>
      </w:r>
      <w:r w:rsidRPr="00E3378B">
        <w:rPr>
          <w:rFonts w:ascii="Palatino Linotype" w:hAnsi="Palatino Linotype" w:cstheme="majorBidi"/>
          <w:sz w:val="22"/>
          <w:szCs w:val="22"/>
          <w:shd w:val="clear" w:color="auto" w:fill="FFFFFF"/>
          <w:lang w:val="sv-SE"/>
        </w:rPr>
        <w:lastRenderedPageBreak/>
        <w:t>SMP Negeri 2 Batu Belah lebih berfokus pada teori dasar yang tidak sepenuhnya memberikan keterampilan praktis yang dibutuhkan oleh guru. Hal ini menciptakan ketidaksesuaian antara tujuan diklat dan kenyataan di lapangan, di mana guru merasa tidak cukup dibekali dengan keterampilan yang dapat diterapkan langsung dalam pengajaran sehari-hari.</w:t>
      </w:r>
    </w:p>
    <w:p w14:paraId="31969623" w14:textId="77777777" w:rsidR="00E3378B" w:rsidRPr="00E3378B" w:rsidRDefault="00E3378B" w:rsidP="00E3378B">
      <w:pPr>
        <w:widowControl/>
        <w:numPr>
          <w:ilvl w:val="0"/>
          <w:numId w:val="5"/>
        </w:numPr>
        <w:spacing w:line="360" w:lineRule="auto"/>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Peningkatan Kompetensi Profesional: Materi diklat yang seharusnya mencakup penguasaan materi ajar dan kemampuan dalam mengembangkan bahan ajar hal ini menurut </w:t>
      </w:r>
      <w:r w:rsidRPr="00E3378B">
        <w:rPr>
          <w:rStyle w:val="FootnoteReference"/>
          <w:rFonts w:ascii="Palatino Linotype" w:hAnsi="Palatino Linotype" w:cstheme="majorBidi"/>
          <w:sz w:val="22"/>
          <w:szCs w:val="22"/>
          <w:shd w:val="clear" w:color="auto" w:fill="FFFFFF"/>
          <w:lang w:val="id-ID"/>
        </w:rPr>
        <w:footnoteReference w:id="15"/>
      </w:r>
      <w:r w:rsidRPr="00E3378B">
        <w:rPr>
          <w:rFonts w:ascii="Palatino Linotype" w:hAnsi="Palatino Linotype" w:cstheme="majorBidi"/>
          <w:sz w:val="22"/>
          <w:szCs w:val="22"/>
          <w:shd w:val="clear" w:color="auto" w:fill="FFFFFF"/>
          <w:lang w:val="sv-SE"/>
        </w:rPr>
        <w:t xml:space="preserve"> juga perlu diperbarui. Beberapa guru mengungkapkan bahwa meskipun mereka mendapatkan pelatihan tentang pengembangan bahan ajar, pelatihan tersebut tidak cukup memberikan solusi konkret terkait penerapan materi ajar di kelas. Guru merasa bahwa mereka membutuhkan lebih banyak pelatihan yang dapat membantu mereka mengembangkan bahan ajar yang lebih kreatif dan sesuai dengan kebutuhan siswa yang beragam.</w:t>
      </w:r>
    </w:p>
    <w:p w14:paraId="790A8312" w14:textId="77777777" w:rsidR="00E3378B" w:rsidRPr="00E3378B" w:rsidRDefault="00E3378B" w:rsidP="00E3378B">
      <w:pPr>
        <w:widowControl/>
        <w:numPr>
          <w:ilvl w:val="0"/>
          <w:numId w:val="5"/>
        </w:numPr>
        <w:spacing w:line="360" w:lineRule="auto"/>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Peningkatan Kompetensi Sosial dan Kepribadian: Dalam hal ini, kompetensi sosial dan kepribadian yang meliputi kemampuan komunikasi efektif dan pengembangan karakter guru menjadi hal yang sangat penting. Berdasarkan temuan dari </w:t>
      </w:r>
      <w:r w:rsidRPr="00E3378B">
        <w:rPr>
          <w:rStyle w:val="FootnoteReference"/>
          <w:rFonts w:ascii="Palatino Linotype" w:hAnsi="Palatino Linotype" w:cstheme="majorBidi"/>
          <w:sz w:val="22"/>
          <w:szCs w:val="22"/>
          <w:shd w:val="clear" w:color="auto" w:fill="FFFFFF"/>
          <w:lang w:val="id-ID"/>
        </w:rPr>
        <w:footnoteReference w:id="16"/>
      </w:r>
      <w:r w:rsidRPr="00E3378B">
        <w:rPr>
          <w:rFonts w:ascii="Palatino Linotype" w:hAnsi="Palatino Linotype" w:cstheme="majorBidi"/>
          <w:sz w:val="22"/>
          <w:szCs w:val="22"/>
          <w:shd w:val="clear" w:color="auto" w:fill="FFFFFF"/>
          <w:lang w:val="sv-SE"/>
        </w:rPr>
        <w:t>, guru yang memiliki kompetensi sosial yang baik akan mampu membangun hubungan yang harmonis dengan siswa dan menciptakan suasana belajar yang positif. Namun, temuan di lapangan menunjukkan bahwa meskipun materi tentang komunikasi dan pengembangan karakter guru diajarkan, kurangnya praktik langsung dalam situasi kelas membuat para guru merasa kurang siap dalam menerapkan keterampilan ini.</w:t>
      </w:r>
    </w:p>
    <w:p w14:paraId="235338E2" w14:textId="77777777" w:rsidR="00E3378B" w:rsidRPr="00E3378B" w:rsidRDefault="00E3378B" w:rsidP="00E3378B">
      <w:pPr>
        <w:widowControl/>
        <w:numPr>
          <w:ilvl w:val="0"/>
          <w:numId w:val="5"/>
        </w:numPr>
        <w:spacing w:line="360" w:lineRule="auto"/>
        <w:jc w:val="both"/>
        <w:rPr>
          <w:rFonts w:ascii="Palatino Linotype" w:hAnsi="Palatino Linotype" w:cstheme="majorBidi"/>
          <w:sz w:val="22"/>
          <w:szCs w:val="22"/>
          <w:shd w:val="clear" w:color="auto" w:fill="FFFFFF"/>
          <w:lang w:val="id-ID"/>
        </w:rPr>
      </w:pPr>
      <w:r w:rsidRPr="00E3378B">
        <w:rPr>
          <w:rFonts w:ascii="Palatino Linotype" w:hAnsi="Palatino Linotype" w:cstheme="majorBidi"/>
          <w:sz w:val="22"/>
          <w:szCs w:val="22"/>
          <w:shd w:val="clear" w:color="auto" w:fill="FFFFFF"/>
          <w:lang w:val="sv-SE"/>
        </w:rPr>
        <w:t xml:space="preserve">Peningkatan Literasi Digital dan Penggunaan Teknologi dalam Pembelajaran: Sebagai aspek yang sangat penting dalam pendidikan modern, literasi digital dan penggunaan teknologi dalam pembelajaran seharusnya menjadi materi utama dalam diklat guru, terutama di SMP Negeri 2 Batu Belah. </w:t>
      </w:r>
      <w:r w:rsidRPr="00E3378B">
        <w:rPr>
          <w:rStyle w:val="FootnoteReference"/>
          <w:rFonts w:ascii="Palatino Linotype" w:hAnsi="Palatino Linotype" w:cstheme="majorBidi"/>
          <w:sz w:val="22"/>
          <w:szCs w:val="22"/>
          <w:shd w:val="clear" w:color="auto" w:fill="FFFFFF"/>
          <w:lang w:val="id-ID"/>
        </w:rPr>
        <w:footnoteReference w:id="17"/>
      </w:r>
      <w:r w:rsidRPr="00E3378B">
        <w:rPr>
          <w:rFonts w:ascii="Palatino Linotype" w:hAnsi="Palatino Linotype" w:cstheme="majorBidi"/>
          <w:sz w:val="22"/>
          <w:szCs w:val="22"/>
          <w:shd w:val="clear" w:color="auto" w:fill="FFFFFF"/>
          <w:lang w:val="id-ID"/>
        </w:rPr>
        <w:t xml:space="preserve"> menekankan bahwa guru perlu memiliki keterampilan digital untuk mendukung proses pembelajaran. Namun, banyak guru yang mengungkapkan bahwa meskipun ada materi tentang teknologi, pelatihan yang diberikan </w:t>
      </w:r>
      <w:r w:rsidRPr="00E3378B">
        <w:rPr>
          <w:rFonts w:ascii="Palatino Linotype" w:hAnsi="Palatino Linotype" w:cstheme="majorBidi"/>
          <w:sz w:val="22"/>
          <w:szCs w:val="22"/>
          <w:shd w:val="clear" w:color="auto" w:fill="FFFFFF"/>
          <w:lang w:val="id-ID"/>
        </w:rPr>
        <w:lastRenderedPageBreak/>
        <w:t>belum cukup mendalam dan tidak sesuai dengan perkembangan teknologi terkini. Guru menginginkan pelatihan yang lebih berbasis pada pemanfaatan aplikasi dan media digital yang dapat membantu mereka mengelola pembelajaran secara lebih interaktif.</w:t>
      </w:r>
    </w:p>
    <w:p w14:paraId="4ABA0CF1" w14:textId="77777777" w:rsidR="00E3378B" w:rsidRPr="00E3378B" w:rsidRDefault="00E3378B" w:rsidP="00E3378B">
      <w:pPr>
        <w:widowControl/>
        <w:numPr>
          <w:ilvl w:val="0"/>
          <w:numId w:val="5"/>
        </w:numPr>
        <w:spacing w:line="360" w:lineRule="auto"/>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id-ID"/>
        </w:rPr>
        <w:t xml:space="preserve">Peningkatan Kompetensi dalam Menangani Siswa Berkebutuhan Khusus: Dengan semakin meningkatnya jumlah siswa berkebutuhan khusus di sekolah, materi diklat juga perlu mencakup strategi untuk mengelola keberagaman di dalam kelas, serta bagaimana cara memberikan perhatian yang cukup kepada siswa dengan kebutuhan khusus </w:t>
      </w:r>
      <w:r w:rsidRPr="00E3378B">
        <w:rPr>
          <w:rStyle w:val="FootnoteReference"/>
          <w:rFonts w:ascii="Palatino Linotype" w:hAnsi="Palatino Linotype" w:cstheme="majorBidi"/>
          <w:sz w:val="22"/>
          <w:szCs w:val="22"/>
          <w:shd w:val="clear" w:color="auto" w:fill="FFFFFF"/>
          <w:lang w:val="id-ID"/>
        </w:rPr>
        <w:footnoteReference w:id="18"/>
      </w:r>
      <w:r w:rsidRPr="00E3378B">
        <w:rPr>
          <w:rFonts w:ascii="Palatino Linotype" w:hAnsi="Palatino Linotype" w:cstheme="majorBidi"/>
          <w:sz w:val="22"/>
          <w:szCs w:val="22"/>
          <w:shd w:val="clear" w:color="auto" w:fill="FFFFFF"/>
          <w:lang w:val="id-ID"/>
        </w:rPr>
        <w:t xml:space="preserve">. </w:t>
      </w:r>
      <w:r w:rsidRPr="00E3378B">
        <w:rPr>
          <w:rFonts w:ascii="Palatino Linotype" w:hAnsi="Palatino Linotype" w:cstheme="majorBidi"/>
          <w:sz w:val="22"/>
          <w:szCs w:val="22"/>
          <w:shd w:val="clear" w:color="auto" w:fill="FFFFFF"/>
          <w:lang w:val="sv-SE"/>
        </w:rPr>
        <w:t>Hal ini sangat penting agar pendidikan inklusi dapat berjalan dengan baik. Namun, beberapa guru merasa bahwa pelatihan yang diberikan kurang memadai dalam mengatasi permasalahan ini di kelas. Mereka membutuhkan pelatihan yang lebih mendalam mengenai teknik mengajar siswa berkebutuhan khusus agar dapat memenuhi kebutuhan setiap siswa dengan cara yang lebih efektif.</w:t>
      </w:r>
    </w:p>
    <w:p w14:paraId="5E8F6765" w14:textId="77777777" w:rsidR="00E3378B" w:rsidRPr="00E3378B" w:rsidRDefault="00E3378B" w:rsidP="00865A94">
      <w:pPr>
        <w:widowControl/>
        <w:numPr>
          <w:ilvl w:val="0"/>
          <w:numId w:val="5"/>
        </w:numPr>
        <w:spacing w:line="360" w:lineRule="auto"/>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 xml:space="preserve">Kebutuhan Khusus di SMP Negeri 2 Batu Belah: Selain materi yang bersifat umum, diklat juga perlu mempertimbangkan kebutuhan spesifik guru di SMP Negeri 2 Batu Belah, seperti kebutuhan untuk meningkatkan kemampuan bahasa Inggris bagi guru non-penutur asli </w:t>
      </w:r>
      <w:r w:rsidRPr="00E3378B">
        <w:rPr>
          <w:rStyle w:val="FootnoteReference"/>
          <w:rFonts w:ascii="Palatino Linotype" w:hAnsi="Palatino Linotype" w:cstheme="majorBidi"/>
          <w:sz w:val="22"/>
          <w:szCs w:val="22"/>
          <w:shd w:val="clear" w:color="auto" w:fill="FFFFFF"/>
          <w:lang w:val="id-ID"/>
        </w:rPr>
        <w:footnoteReference w:id="19"/>
      </w:r>
      <w:r w:rsidRPr="00E3378B">
        <w:rPr>
          <w:rFonts w:ascii="Palatino Linotype" w:hAnsi="Palatino Linotype" w:cstheme="majorBidi"/>
          <w:sz w:val="22"/>
          <w:szCs w:val="22"/>
          <w:shd w:val="clear" w:color="auto" w:fill="FFFFFF"/>
          <w:lang w:val="sv-SE"/>
        </w:rPr>
        <w:t>. Dalam hal ini, pengajaran bahasa Inggris menjadi penting untuk meningkatkan keterampilan komunikasi guru dalam konteks pendidikan global yang semakin berkembang.</w:t>
      </w:r>
    </w:p>
    <w:p w14:paraId="3E7E7278" w14:textId="77777777" w:rsidR="00E3378B" w:rsidRPr="00E3378B" w:rsidRDefault="00E3378B" w:rsidP="00E3378B">
      <w:pPr>
        <w:spacing w:line="360" w:lineRule="auto"/>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Faktor Penghambat dalam Implementasi Diklat</w:t>
      </w:r>
    </w:p>
    <w:p w14:paraId="13FA4B33" w14:textId="77777777" w:rsidR="00E3378B" w:rsidRPr="00E3378B" w:rsidRDefault="00E3378B" w:rsidP="00E3378B">
      <w:pPr>
        <w:spacing w:line="360" w:lineRule="auto"/>
        <w:ind w:firstLine="720"/>
        <w:jc w:val="both"/>
        <w:rPr>
          <w:rFonts w:ascii="Palatino Linotype" w:hAnsi="Palatino Linotype" w:cstheme="majorBidi"/>
          <w:sz w:val="22"/>
          <w:szCs w:val="22"/>
          <w:shd w:val="clear" w:color="auto" w:fill="FFFFFF"/>
        </w:rPr>
      </w:pPr>
      <w:r w:rsidRPr="00E3378B">
        <w:rPr>
          <w:rFonts w:ascii="Palatino Linotype" w:hAnsi="Palatino Linotype" w:cstheme="majorBidi"/>
          <w:sz w:val="22"/>
          <w:szCs w:val="22"/>
          <w:shd w:val="clear" w:color="auto" w:fill="FFFFFF"/>
          <w:lang w:val="sv-SE"/>
        </w:rPr>
        <w:t xml:space="preserve">Meskipun tujuan dan materi diklat sudah dirancang dengan baik dan sesuai dengan teori yang ada, sejumlah faktor penghambat di lapangan memengaruhi efektivitas pelaksanaan diklat. </w:t>
      </w:r>
      <w:proofErr w:type="spellStart"/>
      <w:r w:rsidRPr="00E3378B">
        <w:rPr>
          <w:rFonts w:ascii="Palatino Linotype" w:hAnsi="Palatino Linotype" w:cstheme="majorBidi"/>
          <w:sz w:val="22"/>
          <w:szCs w:val="22"/>
          <w:shd w:val="clear" w:color="auto" w:fill="FFFFFF"/>
        </w:rPr>
        <w:t>Beberapa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faktor</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penghambat</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tersebut</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antara</w:t>
      </w:r>
      <w:proofErr w:type="spellEnd"/>
      <w:r w:rsidRPr="00E3378B">
        <w:rPr>
          <w:rFonts w:ascii="Palatino Linotype" w:hAnsi="Palatino Linotype" w:cstheme="majorBidi"/>
          <w:sz w:val="22"/>
          <w:szCs w:val="22"/>
          <w:shd w:val="clear" w:color="auto" w:fill="FFFFFF"/>
        </w:rPr>
        <w:t xml:space="preserve"> lain:</w:t>
      </w:r>
    </w:p>
    <w:p w14:paraId="0423A2B2" w14:textId="77777777" w:rsidR="00E3378B" w:rsidRPr="00E3378B" w:rsidRDefault="00E3378B" w:rsidP="00E3378B">
      <w:pPr>
        <w:widowControl/>
        <w:numPr>
          <w:ilvl w:val="0"/>
          <w:numId w:val="7"/>
        </w:numPr>
        <w:spacing w:line="360" w:lineRule="auto"/>
        <w:jc w:val="both"/>
        <w:rPr>
          <w:rFonts w:ascii="Palatino Linotype" w:hAnsi="Palatino Linotype" w:cstheme="majorBidi"/>
          <w:sz w:val="22"/>
          <w:szCs w:val="22"/>
          <w:shd w:val="clear" w:color="auto" w:fill="FFFFFF"/>
        </w:rPr>
      </w:pPr>
      <w:proofErr w:type="spellStart"/>
      <w:r w:rsidRPr="00E3378B">
        <w:rPr>
          <w:rFonts w:ascii="Palatino Linotype" w:hAnsi="Palatino Linotype" w:cstheme="majorBidi"/>
          <w:sz w:val="22"/>
          <w:szCs w:val="22"/>
          <w:shd w:val="clear" w:color="auto" w:fill="FFFFFF"/>
        </w:rPr>
        <w:t>Keterbatasan</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Waktu</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Durasi</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diklat</w:t>
      </w:r>
      <w:proofErr w:type="spellEnd"/>
      <w:r w:rsidRPr="00E3378B">
        <w:rPr>
          <w:rFonts w:ascii="Palatino Linotype" w:hAnsi="Palatino Linotype" w:cstheme="majorBidi"/>
          <w:sz w:val="22"/>
          <w:szCs w:val="22"/>
          <w:shd w:val="clear" w:color="auto" w:fill="FFFFFF"/>
        </w:rPr>
        <w:t xml:space="preserve"> yang </w:t>
      </w:r>
      <w:proofErr w:type="spellStart"/>
      <w:r w:rsidRPr="00E3378B">
        <w:rPr>
          <w:rFonts w:ascii="Palatino Linotype" w:hAnsi="Palatino Linotype" w:cstheme="majorBidi"/>
          <w:sz w:val="22"/>
          <w:szCs w:val="22"/>
          <w:shd w:val="clear" w:color="auto" w:fill="FFFFFF"/>
        </w:rPr>
        <w:t>terbatas</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menjadi</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kendala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besar</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dalam</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memberikan</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kesempatan</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bagi</w:t>
      </w:r>
      <w:proofErr w:type="spellEnd"/>
      <w:r w:rsidRPr="00E3378B">
        <w:rPr>
          <w:rFonts w:ascii="Palatino Linotype" w:hAnsi="Palatino Linotype" w:cstheme="majorBidi"/>
          <w:sz w:val="22"/>
          <w:szCs w:val="22"/>
          <w:shd w:val="clear" w:color="auto" w:fill="FFFFFF"/>
        </w:rPr>
        <w:t xml:space="preserve"> guru </w:t>
      </w:r>
      <w:proofErr w:type="spellStart"/>
      <w:r w:rsidRPr="00E3378B">
        <w:rPr>
          <w:rFonts w:ascii="Palatino Linotype" w:hAnsi="Palatino Linotype" w:cstheme="majorBidi"/>
          <w:sz w:val="22"/>
          <w:szCs w:val="22"/>
          <w:shd w:val="clear" w:color="auto" w:fill="FFFFFF"/>
        </w:rPr>
        <w:t>untuk</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mempraktikkan</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keterampilan</w:t>
      </w:r>
      <w:proofErr w:type="spellEnd"/>
      <w:r w:rsidRPr="00E3378B">
        <w:rPr>
          <w:rFonts w:ascii="Palatino Linotype" w:hAnsi="Palatino Linotype" w:cstheme="majorBidi"/>
          <w:sz w:val="22"/>
          <w:szCs w:val="22"/>
          <w:shd w:val="clear" w:color="auto" w:fill="FFFFFF"/>
        </w:rPr>
        <w:t xml:space="preserve"> yang </w:t>
      </w:r>
      <w:proofErr w:type="spellStart"/>
      <w:r w:rsidRPr="00E3378B">
        <w:rPr>
          <w:rFonts w:ascii="Palatino Linotype" w:hAnsi="Palatino Linotype" w:cstheme="majorBidi"/>
          <w:sz w:val="22"/>
          <w:szCs w:val="22"/>
          <w:shd w:val="clear" w:color="auto" w:fill="FFFFFF"/>
        </w:rPr>
        <w:t>diajarkan</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Banyak</w:t>
      </w:r>
      <w:proofErr w:type="spellEnd"/>
      <w:r w:rsidRPr="00E3378B">
        <w:rPr>
          <w:rFonts w:ascii="Palatino Linotype" w:hAnsi="Palatino Linotype" w:cstheme="majorBidi"/>
          <w:sz w:val="22"/>
          <w:szCs w:val="22"/>
          <w:shd w:val="clear" w:color="auto" w:fill="FFFFFF"/>
        </w:rPr>
        <w:t xml:space="preserve"> guru </w:t>
      </w:r>
      <w:proofErr w:type="spellStart"/>
      <w:r w:rsidRPr="00E3378B">
        <w:rPr>
          <w:rFonts w:ascii="Palatino Linotype" w:hAnsi="Palatino Linotype" w:cstheme="majorBidi"/>
          <w:sz w:val="22"/>
          <w:szCs w:val="22"/>
          <w:shd w:val="clear" w:color="auto" w:fill="FFFFFF"/>
        </w:rPr>
        <w:t>mengungkapkan</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bahwa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mereka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merasa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tidak</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memiliki</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cukup</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waktu</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untuk</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menguasai</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materi</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secara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menyeluruh</w:t>
      </w:r>
      <w:proofErr w:type="spellEnd"/>
      <w:r w:rsidRPr="00E3378B">
        <w:rPr>
          <w:rFonts w:ascii="Palatino Linotype" w:hAnsi="Palatino Linotype" w:cstheme="majorBidi"/>
          <w:sz w:val="22"/>
          <w:szCs w:val="22"/>
          <w:shd w:val="clear" w:color="auto" w:fill="FFFFFF"/>
        </w:rPr>
        <w:t>.</w:t>
      </w:r>
    </w:p>
    <w:p w14:paraId="66253EDC" w14:textId="77777777" w:rsidR="00E3378B" w:rsidRPr="00E3378B" w:rsidRDefault="00E3378B" w:rsidP="00E3378B">
      <w:pPr>
        <w:widowControl/>
        <w:numPr>
          <w:ilvl w:val="0"/>
          <w:numId w:val="7"/>
        </w:numPr>
        <w:spacing w:line="360" w:lineRule="auto"/>
        <w:jc w:val="both"/>
        <w:rPr>
          <w:rFonts w:ascii="Palatino Linotype" w:hAnsi="Palatino Linotype" w:cstheme="majorBidi"/>
          <w:sz w:val="22"/>
          <w:szCs w:val="22"/>
          <w:shd w:val="clear" w:color="auto" w:fill="FFFFFF"/>
          <w:lang w:val="sv-SE"/>
        </w:rPr>
      </w:pPr>
      <w:proofErr w:type="spellStart"/>
      <w:r w:rsidRPr="00E3378B">
        <w:rPr>
          <w:rFonts w:ascii="Palatino Linotype" w:hAnsi="Palatino Linotype" w:cstheme="majorBidi"/>
          <w:sz w:val="22"/>
          <w:szCs w:val="22"/>
          <w:shd w:val="clear" w:color="auto" w:fill="FFFFFF"/>
        </w:rPr>
        <w:t>Kurangnya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Evaluasi</w:t>
      </w:r>
      <w:proofErr w:type="spellEnd"/>
      <w:r w:rsidRPr="00E3378B">
        <w:rPr>
          <w:rFonts w:ascii="Palatino Linotype" w:hAnsi="Palatino Linotype" w:cstheme="majorBidi"/>
          <w:sz w:val="22"/>
          <w:szCs w:val="22"/>
          <w:shd w:val="clear" w:color="auto" w:fill="FFFFFF"/>
        </w:rPr>
        <w:t xml:space="preserve"> yang </w:t>
      </w:r>
      <w:proofErr w:type="spellStart"/>
      <w:r w:rsidRPr="00E3378B">
        <w:rPr>
          <w:rFonts w:ascii="Palatino Linotype" w:hAnsi="Palatino Linotype" w:cstheme="majorBidi"/>
          <w:sz w:val="22"/>
          <w:szCs w:val="22"/>
          <w:shd w:val="clear" w:color="auto" w:fill="FFFFFF"/>
        </w:rPr>
        <w:t>Konstruktif</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Beberapa</w:t>
      </w:r>
      <w:proofErr w:type="spellEnd"/>
      <w:r w:rsidRPr="00E3378B">
        <w:rPr>
          <w:rFonts w:ascii="Palatino Linotype" w:hAnsi="Palatino Linotype" w:cstheme="majorBidi"/>
          <w:sz w:val="22"/>
          <w:szCs w:val="22"/>
          <w:shd w:val="clear" w:color="auto" w:fill="FFFFFF"/>
        </w:rPr>
        <w:t xml:space="preserve"> guru </w:t>
      </w:r>
      <w:proofErr w:type="spellStart"/>
      <w:r w:rsidRPr="00E3378B">
        <w:rPr>
          <w:rFonts w:ascii="Palatino Linotype" w:hAnsi="Palatino Linotype" w:cstheme="majorBidi"/>
          <w:sz w:val="22"/>
          <w:szCs w:val="22"/>
          <w:shd w:val="clear" w:color="auto" w:fill="FFFFFF"/>
        </w:rPr>
        <w:t>merasa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bahwa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kurangnya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evaluasi</w:t>
      </w:r>
      <w:proofErr w:type="spellEnd"/>
      <w:r w:rsidRPr="00E3378B">
        <w:rPr>
          <w:rFonts w:ascii="Palatino Linotype" w:hAnsi="Palatino Linotype" w:cstheme="majorBidi"/>
          <w:sz w:val="22"/>
          <w:szCs w:val="22"/>
          <w:shd w:val="clear" w:color="auto" w:fill="FFFFFF"/>
        </w:rPr>
        <w:t xml:space="preserve"> yang </w:t>
      </w:r>
      <w:proofErr w:type="spellStart"/>
      <w:r w:rsidRPr="00E3378B">
        <w:rPr>
          <w:rFonts w:ascii="Palatino Linotype" w:hAnsi="Palatino Linotype" w:cstheme="majorBidi"/>
          <w:sz w:val="22"/>
          <w:szCs w:val="22"/>
          <w:shd w:val="clear" w:color="auto" w:fill="FFFFFF"/>
        </w:rPr>
        <w:t>menyeluruh</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setelah</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diklat</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menghambat</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mereka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untuk</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mengetahui</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sejauh</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mana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lastRenderedPageBreak/>
        <w:t>mereka</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telah</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menguasai</w:t>
      </w:r>
      <w:proofErr w:type="spellEnd"/>
      <w:r w:rsidRPr="00E3378B">
        <w:rPr>
          <w:rFonts w:ascii="Palatino Linotype" w:hAnsi="Palatino Linotype" w:cstheme="majorBidi"/>
          <w:sz w:val="22"/>
          <w:szCs w:val="22"/>
          <w:shd w:val="clear" w:color="auto" w:fill="FFFFFF"/>
        </w:rPr>
        <w:t xml:space="preserve"> </w:t>
      </w:r>
      <w:proofErr w:type="spellStart"/>
      <w:r w:rsidRPr="00E3378B">
        <w:rPr>
          <w:rFonts w:ascii="Palatino Linotype" w:hAnsi="Palatino Linotype" w:cstheme="majorBidi"/>
          <w:sz w:val="22"/>
          <w:szCs w:val="22"/>
          <w:shd w:val="clear" w:color="auto" w:fill="FFFFFF"/>
        </w:rPr>
        <w:t>materi</w:t>
      </w:r>
      <w:proofErr w:type="spellEnd"/>
      <w:r w:rsidRPr="00E3378B">
        <w:rPr>
          <w:rFonts w:ascii="Palatino Linotype" w:hAnsi="Palatino Linotype" w:cstheme="majorBidi"/>
          <w:sz w:val="22"/>
          <w:szCs w:val="22"/>
          <w:shd w:val="clear" w:color="auto" w:fill="FFFFFF"/>
        </w:rPr>
        <w:t xml:space="preserve"> yang </w:t>
      </w:r>
      <w:proofErr w:type="spellStart"/>
      <w:r w:rsidRPr="00E3378B">
        <w:rPr>
          <w:rFonts w:ascii="Palatino Linotype" w:hAnsi="Palatino Linotype" w:cstheme="majorBidi"/>
          <w:sz w:val="22"/>
          <w:szCs w:val="22"/>
          <w:shd w:val="clear" w:color="auto" w:fill="FFFFFF"/>
        </w:rPr>
        <w:t>diajarkan</w:t>
      </w:r>
      <w:proofErr w:type="spellEnd"/>
      <w:r w:rsidRPr="00E3378B">
        <w:rPr>
          <w:rFonts w:ascii="Palatino Linotype" w:hAnsi="Palatino Linotype" w:cstheme="majorBidi"/>
          <w:sz w:val="22"/>
          <w:szCs w:val="22"/>
          <w:shd w:val="clear" w:color="auto" w:fill="FFFFFF"/>
        </w:rPr>
        <w:t xml:space="preserve">. </w:t>
      </w:r>
      <w:r w:rsidRPr="00E3378B">
        <w:rPr>
          <w:rFonts w:ascii="Palatino Linotype" w:hAnsi="Palatino Linotype" w:cstheme="majorBidi"/>
          <w:sz w:val="22"/>
          <w:szCs w:val="22"/>
          <w:shd w:val="clear" w:color="auto" w:fill="FFFFFF"/>
          <w:lang w:val="sv-SE"/>
        </w:rPr>
        <w:t>Evaluasi yang lebih mendalam dan umpan balik yang konstruktif akan membantu guru dalam meningkatkan keterampilan mereka.</w:t>
      </w:r>
    </w:p>
    <w:p w14:paraId="3DE9609A" w14:textId="77777777" w:rsidR="00E3378B" w:rsidRPr="00E3378B" w:rsidRDefault="00E3378B" w:rsidP="00E3378B">
      <w:pPr>
        <w:widowControl/>
        <w:numPr>
          <w:ilvl w:val="0"/>
          <w:numId w:val="7"/>
        </w:numPr>
        <w:spacing w:line="360" w:lineRule="auto"/>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Ketidaksesuaian Materi dengan Kebutuhan Lapangan: Walaupun materi diklat telah disesuaikan dengan berbagai teori, implementasi di lapangan menunjukkan bahwa materi tersebut belum sepenuhnya relevan dengan kebutuhan praktis yang dihadapi oleh guru. Hal ini mengarah pada ketidakmampuan guru dalam mengaplikasikan materi diklat secara efektif.</w:t>
      </w:r>
    </w:p>
    <w:p w14:paraId="5342485F" w14:textId="59A597CE" w:rsidR="00A73FC1" w:rsidRPr="00E3378B" w:rsidRDefault="00E3378B" w:rsidP="00E3378B">
      <w:pPr>
        <w:spacing w:line="360" w:lineRule="auto"/>
        <w:jc w:val="both"/>
        <w:rPr>
          <w:rFonts w:ascii="Palatino Linotype" w:hAnsi="Palatino Linotype" w:cstheme="majorBidi"/>
          <w:sz w:val="22"/>
          <w:szCs w:val="22"/>
          <w:shd w:val="clear" w:color="auto" w:fill="FFFFFF"/>
          <w:lang w:val="sv-SE"/>
        </w:rPr>
      </w:pPr>
      <w:r w:rsidRPr="00E3378B">
        <w:rPr>
          <w:rFonts w:ascii="Palatino Linotype" w:hAnsi="Palatino Linotype" w:cstheme="majorBidi"/>
          <w:sz w:val="22"/>
          <w:szCs w:val="22"/>
          <w:shd w:val="clear" w:color="auto" w:fill="FFFFFF"/>
          <w:lang w:val="sv-SE"/>
        </w:rPr>
        <w:t>Meskipun tujuan dan materi diklat di SMP Negeri 2 Batu Belah telah sesuai dengan teori yang ada, ada beberapa faktor penghambat yang perlu diperhatikan. Oleh karena itu, pembaruan materi diklat, penyesuaian dengan kebutuhan spesifik guru, serta perbaikan dalam evaluasi dan waktu pelatihan menjadi langkah penting untuk meningkatkan efektivitas program diklat dan mendukung peningkatan kualitas pengajaran di sekolah tersebut</w:t>
      </w:r>
    </w:p>
    <w:p w14:paraId="40BDAEA6" w14:textId="77777777" w:rsidR="00E3378B" w:rsidRPr="00200F09" w:rsidRDefault="00E3378B" w:rsidP="00E3378B">
      <w:pPr>
        <w:spacing w:line="360" w:lineRule="auto"/>
        <w:jc w:val="both"/>
        <w:rPr>
          <w:rFonts w:ascii="Palatino Linotype" w:eastAsia="Palatino Linotype" w:hAnsi="Palatino Linotype" w:cs="Palatino Linotype"/>
          <w:sz w:val="22"/>
          <w:szCs w:val="22"/>
          <w:lang w:val="sv-SE"/>
        </w:rPr>
      </w:pPr>
    </w:p>
    <w:p w14:paraId="43404388" w14:textId="77777777" w:rsidR="00865A94" w:rsidRPr="00FE0B5C" w:rsidRDefault="00865A94" w:rsidP="00865A94">
      <w:pPr>
        <w:spacing w:line="360" w:lineRule="auto"/>
        <w:jc w:val="both"/>
        <w:rPr>
          <w:rFonts w:ascii="Palatino Linotype" w:eastAsia="Palatino Linotype" w:hAnsi="Palatino Linotype" w:cs="Palatino Linotype"/>
          <w:b/>
          <w:sz w:val="22"/>
        </w:rPr>
      </w:pPr>
      <w:r w:rsidRPr="00FE0B5C">
        <w:rPr>
          <w:rFonts w:ascii="Palatino Linotype" w:eastAsia="Palatino Linotype" w:hAnsi="Palatino Linotype" w:cs="Palatino Linotype"/>
          <w:b/>
          <w:sz w:val="22"/>
        </w:rPr>
        <w:t>KESIMPULAN</w:t>
      </w:r>
    </w:p>
    <w:p w14:paraId="6FB8B163" w14:textId="0E56395A" w:rsidR="0078495C" w:rsidRPr="00200F09" w:rsidRDefault="00E3378B">
      <w:pPr>
        <w:spacing w:line="360" w:lineRule="auto"/>
        <w:ind w:firstLine="720"/>
        <w:jc w:val="both"/>
        <w:rPr>
          <w:rFonts w:ascii="Palatino Linotype" w:eastAsia="Palatino Linotype" w:hAnsi="Palatino Linotype" w:cs="Palatino Linotype"/>
          <w:sz w:val="22"/>
          <w:szCs w:val="22"/>
          <w:lang w:val="id-ID"/>
        </w:rPr>
      </w:pPr>
      <w:r w:rsidRPr="00E3378B">
        <w:rPr>
          <w:rFonts w:ascii="Palatino Linotype" w:hAnsi="Palatino Linotype" w:cstheme="majorBidi"/>
          <w:bCs/>
          <w:sz w:val="22"/>
          <w:szCs w:val="22"/>
          <w:lang w:val="id-ID"/>
        </w:rPr>
        <w:t>Program diklat guru di SMP Negeri 2 Batu Belah menunjukkan beberapa temuan penting terhadap relevansi dengan tujuan dan materinya, di mana program ini sudah cukup bermanfaat namun juga menghadapi berbagai tantangan dalam implementasinya. Materi yang disampaikan masih bersifat teoretis dan kurang relevan dengan kebutuhan praktis di lapangan, meskipun sudah mencakup aspek penting dalam kompetensi pedagogik dan profesionalisme. Faktor penghambat utama meliputi terbatasnya pengetahuan dalam penggunaan teknologi digital, fokus berlebih pada teori pedagogik dasar tanpa praktik memadai, kurangnya evaluasi dan umpan balik konstruktif, serta keterbatasan waktu pelatihan. Modul-modul yang digunakan belum mengalami pembaruan signifikan dan masih berfokus pada teori-teori dasar tanpa memperhatikan perkembangan terbaru dalam teknologi pendidikan. Para guru menginginkan pelatihan yang lebih praktis, terutama dalam hal pengelolaan kelas efektif, penggunaan teknologi pembelajaran, dan strategi penanganan siswa dengan kemampuan beragam. Untuk meningkatkan efektivitas program, diperlukan pembaruan materi yang lebih aplikatif, penambahan durasi pelatihan, dan sistem evaluasi yang lebih konstruktif, sehingga dapat mendukung peningkatan kualitas pengajaran di sekolah tersebut</w:t>
      </w:r>
      <w:r w:rsidR="00135494" w:rsidRPr="00200F09">
        <w:rPr>
          <w:rFonts w:ascii="Palatino Linotype" w:eastAsia="Palatino Linotype" w:hAnsi="Palatino Linotype" w:cs="Palatino Linotype"/>
          <w:sz w:val="22"/>
          <w:szCs w:val="22"/>
          <w:lang w:val="id-ID"/>
        </w:rPr>
        <w:t>.</w:t>
      </w:r>
    </w:p>
    <w:p w14:paraId="263C8701" w14:textId="77777777" w:rsidR="00135494" w:rsidRPr="00200F09" w:rsidRDefault="00135494">
      <w:pPr>
        <w:spacing w:line="360" w:lineRule="auto"/>
        <w:ind w:firstLine="720"/>
        <w:jc w:val="both"/>
        <w:rPr>
          <w:rFonts w:ascii="Palatino Linotype" w:eastAsia="Palatino Linotype" w:hAnsi="Palatino Linotype" w:cs="Palatino Linotype"/>
          <w:sz w:val="22"/>
          <w:szCs w:val="22"/>
          <w:lang w:val="id-ID"/>
        </w:rPr>
      </w:pPr>
    </w:p>
    <w:p w14:paraId="1B7A23FE" w14:textId="2E807965" w:rsidR="0078495C" w:rsidRDefault="00A12A6F">
      <w:pPr>
        <w:spacing w:line="360" w:lineRule="auto"/>
        <w:jc w:val="both"/>
        <w:rPr>
          <w:rFonts w:ascii="Palatino Linotype" w:eastAsia="Palatino Linotype" w:hAnsi="Palatino Linotype" w:cs="Palatino Linotype"/>
          <w:i/>
          <w:sz w:val="22"/>
          <w:szCs w:val="22"/>
        </w:rPr>
      </w:pPr>
      <w:r>
        <w:rPr>
          <w:rFonts w:ascii="Palatino Linotype" w:eastAsia="Palatino Linotype" w:hAnsi="Palatino Linotype" w:cs="Palatino Linotype"/>
          <w:b/>
          <w:sz w:val="22"/>
          <w:szCs w:val="22"/>
        </w:rPr>
        <w:t>REFERENCES</w:t>
      </w:r>
    </w:p>
    <w:p w14:paraId="7A9F7FF9" w14:textId="77777777" w:rsidR="00E3378B" w:rsidRPr="002D3DED" w:rsidRDefault="0087261B" w:rsidP="00E3378B">
      <w:pPr>
        <w:autoSpaceDE w:val="0"/>
        <w:autoSpaceDN w:val="0"/>
        <w:adjustRightInd w:val="0"/>
        <w:spacing w:line="240" w:lineRule="auto"/>
        <w:ind w:left="480" w:hanging="480"/>
        <w:jc w:val="both"/>
        <w:rPr>
          <w:noProof/>
          <w:sz w:val="24"/>
          <w:szCs w:val="24"/>
        </w:rPr>
      </w:pPr>
      <w:r>
        <w:rPr>
          <w:rFonts w:ascii="Palatino Linotype" w:eastAsia="Palatino Linotype" w:hAnsi="Palatino Linotype" w:cs="Palatino Linotype"/>
          <w:iCs/>
          <w:sz w:val="22"/>
          <w:szCs w:val="22"/>
        </w:rPr>
        <w:fldChar w:fldCharType="begin" w:fldLock="1"/>
      </w:r>
      <w:r>
        <w:rPr>
          <w:rFonts w:ascii="Palatino Linotype" w:eastAsia="Palatino Linotype" w:hAnsi="Palatino Linotype" w:cs="Palatino Linotype"/>
          <w:iCs/>
          <w:sz w:val="22"/>
          <w:szCs w:val="22"/>
        </w:rPr>
        <w:instrText xml:space="preserve">ADDIN Mendeley Bibliography CSL_BIBLIOGRAPHY </w:instrText>
      </w:r>
      <w:r>
        <w:rPr>
          <w:rFonts w:ascii="Palatino Linotype" w:eastAsia="Palatino Linotype" w:hAnsi="Palatino Linotype" w:cs="Palatino Linotype"/>
          <w:iCs/>
          <w:sz w:val="22"/>
          <w:szCs w:val="22"/>
        </w:rPr>
        <w:fldChar w:fldCharType="separate"/>
      </w:r>
      <w:r w:rsidR="00E3378B" w:rsidRPr="002425DF">
        <w:rPr>
          <w:rFonts w:asciiTheme="majorBidi" w:hAnsiTheme="majorBidi" w:cstheme="majorBidi"/>
          <w:b/>
          <w:bCs/>
          <w:szCs w:val="24"/>
          <w:shd w:val="clear" w:color="auto" w:fill="FFFFFF"/>
          <w:lang w:val="id-ID"/>
        </w:rPr>
        <w:fldChar w:fldCharType="begin" w:fldLock="1"/>
      </w:r>
      <w:r w:rsidR="00E3378B" w:rsidRPr="002425DF">
        <w:rPr>
          <w:rFonts w:asciiTheme="majorBidi" w:hAnsiTheme="majorBidi" w:cstheme="majorBidi"/>
          <w:b/>
          <w:bCs/>
          <w:szCs w:val="24"/>
          <w:shd w:val="clear" w:color="auto" w:fill="FFFFFF"/>
          <w:lang w:val="id-ID"/>
        </w:rPr>
        <w:instrText xml:space="preserve">ADDIN Mendeley Bibliography CSL_BIBLIOGRAPHY </w:instrText>
      </w:r>
      <w:r w:rsidR="00E3378B" w:rsidRPr="002425DF">
        <w:rPr>
          <w:rFonts w:asciiTheme="majorBidi" w:hAnsiTheme="majorBidi" w:cstheme="majorBidi"/>
          <w:b/>
          <w:bCs/>
          <w:szCs w:val="24"/>
          <w:shd w:val="clear" w:color="auto" w:fill="FFFFFF"/>
          <w:lang w:val="id-ID"/>
        </w:rPr>
        <w:fldChar w:fldCharType="separate"/>
      </w:r>
      <w:r w:rsidR="00E3378B" w:rsidRPr="002D3DED">
        <w:rPr>
          <w:noProof/>
          <w:sz w:val="24"/>
          <w:szCs w:val="24"/>
        </w:rPr>
        <w:t xml:space="preserve">Asrial, Asrial, Syahrial Syahrial, Dwi Agus Kurniawan, Nur Amalina, and May Subandiyo. </w:t>
      </w:r>
      <w:r w:rsidR="00E3378B" w:rsidRPr="002D3DED">
        <w:rPr>
          <w:noProof/>
          <w:sz w:val="24"/>
          <w:szCs w:val="24"/>
        </w:rPr>
        <w:lastRenderedPageBreak/>
        <w:t xml:space="preserve">“Description of Elementary Teacher Education Program’s Student: Mapping Indonesian Language Competence for Prospective Teacher.” </w:t>
      </w:r>
      <w:r w:rsidR="00E3378B" w:rsidRPr="002D3DED">
        <w:rPr>
          <w:i/>
          <w:iCs/>
          <w:noProof/>
          <w:sz w:val="24"/>
          <w:szCs w:val="24"/>
        </w:rPr>
        <w:t>The Educational Review Usa</w:t>
      </w:r>
      <w:r w:rsidR="00E3378B" w:rsidRPr="002D3DED">
        <w:rPr>
          <w:noProof/>
          <w:sz w:val="24"/>
          <w:szCs w:val="24"/>
        </w:rPr>
        <w:t>, 2019. https://doi.org/10.26855/er.2019.02.001.</w:t>
      </w:r>
    </w:p>
    <w:p w14:paraId="53FD6319" w14:textId="77777777" w:rsidR="00E3378B" w:rsidRPr="002D3DED" w:rsidRDefault="00E3378B" w:rsidP="00E3378B">
      <w:pPr>
        <w:autoSpaceDE w:val="0"/>
        <w:autoSpaceDN w:val="0"/>
        <w:adjustRightInd w:val="0"/>
        <w:spacing w:line="240" w:lineRule="auto"/>
        <w:ind w:left="480" w:hanging="480"/>
        <w:jc w:val="both"/>
        <w:rPr>
          <w:noProof/>
          <w:sz w:val="24"/>
          <w:szCs w:val="24"/>
        </w:rPr>
      </w:pPr>
      <w:r w:rsidRPr="002D3DED">
        <w:rPr>
          <w:noProof/>
          <w:sz w:val="24"/>
          <w:szCs w:val="24"/>
        </w:rPr>
        <w:t xml:space="preserve">Baa, Sultan. “What Considerations Should the Schools or Teachers Take Into Account When Implementing English-Indonesian Bilingual Program in Their Schools?” </w:t>
      </w:r>
      <w:r w:rsidRPr="002D3DED">
        <w:rPr>
          <w:i/>
          <w:iCs/>
          <w:noProof/>
          <w:sz w:val="24"/>
          <w:szCs w:val="24"/>
        </w:rPr>
        <w:t>Klasikal Journal of Education Language Teaching and Science</w:t>
      </w:r>
      <w:r w:rsidRPr="002D3DED">
        <w:rPr>
          <w:noProof/>
          <w:sz w:val="24"/>
          <w:szCs w:val="24"/>
        </w:rPr>
        <w:t>, 2023. https://doi.org/10.52208/klasikal.v5i1.628.</w:t>
      </w:r>
    </w:p>
    <w:p w14:paraId="3ACFA8CC" w14:textId="77777777" w:rsidR="00E3378B" w:rsidRPr="002D3DED" w:rsidRDefault="00E3378B" w:rsidP="00E3378B">
      <w:pPr>
        <w:autoSpaceDE w:val="0"/>
        <w:autoSpaceDN w:val="0"/>
        <w:adjustRightInd w:val="0"/>
        <w:spacing w:line="240" w:lineRule="auto"/>
        <w:ind w:left="480" w:hanging="480"/>
        <w:jc w:val="both"/>
        <w:rPr>
          <w:noProof/>
          <w:sz w:val="24"/>
          <w:szCs w:val="24"/>
        </w:rPr>
      </w:pPr>
      <w:r w:rsidRPr="002D3DED">
        <w:rPr>
          <w:noProof/>
          <w:sz w:val="24"/>
          <w:szCs w:val="24"/>
        </w:rPr>
        <w:t xml:space="preserve">Budiyanto, -, Kieron Sheehy, Helen Kaye, and Khofidotur Rofiah. “Indonesian Educators’ Knowledge and Beliefs About Teaching Children With Autism.” </w:t>
      </w:r>
      <w:r w:rsidRPr="002D3DED">
        <w:rPr>
          <w:i/>
          <w:iCs/>
          <w:noProof/>
          <w:sz w:val="24"/>
          <w:szCs w:val="24"/>
        </w:rPr>
        <w:t>Athens Journal of Education</w:t>
      </w:r>
      <w:r w:rsidRPr="002D3DED">
        <w:rPr>
          <w:noProof/>
          <w:sz w:val="24"/>
          <w:szCs w:val="24"/>
        </w:rPr>
        <w:t>, 2019. https://doi.org/10.30958/aje.7-1-4.</w:t>
      </w:r>
    </w:p>
    <w:p w14:paraId="4B8B7778" w14:textId="77777777" w:rsidR="00E3378B" w:rsidRPr="002D3DED" w:rsidRDefault="00E3378B" w:rsidP="00E3378B">
      <w:pPr>
        <w:autoSpaceDE w:val="0"/>
        <w:autoSpaceDN w:val="0"/>
        <w:adjustRightInd w:val="0"/>
        <w:spacing w:line="240" w:lineRule="auto"/>
        <w:ind w:left="480" w:hanging="480"/>
        <w:jc w:val="both"/>
        <w:rPr>
          <w:noProof/>
          <w:sz w:val="24"/>
          <w:szCs w:val="24"/>
        </w:rPr>
      </w:pPr>
      <w:r w:rsidRPr="002D3DED">
        <w:rPr>
          <w:noProof/>
          <w:sz w:val="24"/>
          <w:szCs w:val="24"/>
        </w:rPr>
        <w:t xml:space="preserve">Noviansyah, K A, and K M Faisal Reza. “Analisis Putusan Mahkamah Konstitusi Nomor 5/Puu-X/2012 Tentang Pengujian Pasal 50 Ayat (3) Undang-Undang Nomor 20 Tahun 2003 Tentang Sistem Pendidikan Nasional.” </w:t>
      </w:r>
      <w:r w:rsidRPr="002D3DED">
        <w:rPr>
          <w:i/>
          <w:iCs/>
          <w:noProof/>
          <w:sz w:val="24"/>
          <w:szCs w:val="24"/>
        </w:rPr>
        <w:t>Jurnal Cakrawala Ilmiah</w:t>
      </w:r>
      <w:r w:rsidRPr="002D3DED">
        <w:rPr>
          <w:noProof/>
          <w:sz w:val="24"/>
          <w:szCs w:val="24"/>
        </w:rPr>
        <w:t xml:space="preserve"> 2, no. 12 (2023): 4553–68.</w:t>
      </w:r>
    </w:p>
    <w:p w14:paraId="40731CDF" w14:textId="77777777" w:rsidR="00E3378B" w:rsidRPr="002D3DED" w:rsidRDefault="00E3378B" w:rsidP="00E3378B">
      <w:pPr>
        <w:autoSpaceDE w:val="0"/>
        <w:autoSpaceDN w:val="0"/>
        <w:adjustRightInd w:val="0"/>
        <w:spacing w:line="240" w:lineRule="auto"/>
        <w:ind w:left="480" w:hanging="480"/>
        <w:jc w:val="both"/>
        <w:rPr>
          <w:noProof/>
          <w:sz w:val="24"/>
          <w:szCs w:val="24"/>
        </w:rPr>
      </w:pPr>
      <w:r w:rsidRPr="002D3DED">
        <w:rPr>
          <w:noProof/>
          <w:sz w:val="24"/>
          <w:szCs w:val="24"/>
        </w:rPr>
        <w:t xml:space="preserve">Sauri, Sofyan. “Strategi Pembangunan Bidang Pendidikan Untuk Mewujudkan Pendidikan Bermutu.” </w:t>
      </w:r>
      <w:r w:rsidRPr="002D3DED">
        <w:rPr>
          <w:i/>
          <w:iCs/>
          <w:noProof/>
          <w:sz w:val="24"/>
          <w:szCs w:val="24"/>
        </w:rPr>
        <w:t>Bandung: UPI</w:t>
      </w:r>
      <w:r w:rsidRPr="002D3DED">
        <w:rPr>
          <w:noProof/>
          <w:sz w:val="24"/>
          <w:szCs w:val="24"/>
        </w:rPr>
        <w:t>, 2016.</w:t>
      </w:r>
    </w:p>
    <w:p w14:paraId="1B276E88" w14:textId="77777777" w:rsidR="00E3378B" w:rsidRPr="002D3DED" w:rsidRDefault="00E3378B" w:rsidP="00E3378B">
      <w:pPr>
        <w:autoSpaceDE w:val="0"/>
        <w:autoSpaceDN w:val="0"/>
        <w:adjustRightInd w:val="0"/>
        <w:spacing w:line="240" w:lineRule="auto"/>
        <w:ind w:left="480" w:hanging="480"/>
        <w:jc w:val="both"/>
        <w:rPr>
          <w:noProof/>
          <w:sz w:val="24"/>
          <w:szCs w:val="24"/>
        </w:rPr>
      </w:pPr>
      <w:r w:rsidRPr="002D3DED">
        <w:rPr>
          <w:noProof/>
          <w:sz w:val="24"/>
          <w:szCs w:val="24"/>
        </w:rPr>
        <w:t xml:space="preserve">Siruwa, W., A. Hamid, and H. B Lukman. “The Importance of Social Competence Training Model Development to Improve the Performance of Elementary School Teacher Working Group.” </w:t>
      </w:r>
      <w:r w:rsidRPr="002D3DED">
        <w:rPr>
          <w:i/>
          <w:iCs/>
          <w:noProof/>
          <w:sz w:val="24"/>
          <w:szCs w:val="24"/>
        </w:rPr>
        <w:t>Journal of Innovation in Educational and Cultural Research</w:t>
      </w:r>
      <w:r w:rsidRPr="002D3DED">
        <w:rPr>
          <w:noProof/>
          <w:sz w:val="24"/>
          <w:szCs w:val="24"/>
        </w:rPr>
        <w:t>, 2023. https://doi.org/10.46843/jiecr.v4i1.531.</w:t>
      </w:r>
    </w:p>
    <w:p w14:paraId="52C810E0" w14:textId="77777777" w:rsidR="00E3378B" w:rsidRPr="002D3DED" w:rsidRDefault="00E3378B" w:rsidP="00E3378B">
      <w:pPr>
        <w:autoSpaceDE w:val="0"/>
        <w:autoSpaceDN w:val="0"/>
        <w:adjustRightInd w:val="0"/>
        <w:spacing w:line="240" w:lineRule="auto"/>
        <w:ind w:left="480" w:hanging="480"/>
        <w:jc w:val="both"/>
        <w:rPr>
          <w:noProof/>
          <w:sz w:val="24"/>
          <w:szCs w:val="24"/>
        </w:rPr>
      </w:pPr>
      <w:r w:rsidRPr="002D3DED">
        <w:rPr>
          <w:noProof/>
          <w:sz w:val="24"/>
          <w:szCs w:val="24"/>
        </w:rPr>
        <w:t xml:space="preserve">Sugiyono, D. </w:t>
      </w:r>
      <w:r w:rsidRPr="002D3DED">
        <w:rPr>
          <w:i/>
          <w:iCs/>
          <w:noProof/>
          <w:sz w:val="24"/>
          <w:szCs w:val="24"/>
        </w:rPr>
        <w:t>Metode Penelitian Kuantitatif, Kualitatif, Dan Tindakan</w:t>
      </w:r>
      <w:r w:rsidRPr="002D3DED">
        <w:rPr>
          <w:noProof/>
          <w:sz w:val="24"/>
          <w:szCs w:val="24"/>
        </w:rPr>
        <w:t>, 2019.</w:t>
      </w:r>
    </w:p>
    <w:p w14:paraId="603C476D" w14:textId="77777777" w:rsidR="00E3378B" w:rsidRPr="002D3DED" w:rsidRDefault="00E3378B" w:rsidP="00E3378B">
      <w:pPr>
        <w:autoSpaceDE w:val="0"/>
        <w:autoSpaceDN w:val="0"/>
        <w:adjustRightInd w:val="0"/>
        <w:spacing w:line="240" w:lineRule="auto"/>
        <w:ind w:left="480" w:hanging="480"/>
        <w:jc w:val="both"/>
        <w:rPr>
          <w:noProof/>
          <w:sz w:val="24"/>
          <w:szCs w:val="24"/>
        </w:rPr>
      </w:pPr>
      <w:r w:rsidRPr="002D3DED">
        <w:rPr>
          <w:noProof/>
          <w:sz w:val="24"/>
          <w:szCs w:val="24"/>
        </w:rPr>
        <w:t xml:space="preserve">Suherman, Andri, and Hamzani Wathoni. “Examining Teachers’ Perceptions of E-Learning Tools: A Survey From Indonesian EAP Classrooms.” </w:t>
      </w:r>
      <w:r w:rsidRPr="002D3DED">
        <w:rPr>
          <w:i/>
          <w:iCs/>
          <w:noProof/>
          <w:sz w:val="24"/>
          <w:szCs w:val="24"/>
        </w:rPr>
        <w:t>Indonesian Journal of Efl and Linguistics</w:t>
      </w:r>
      <w:r w:rsidRPr="002D3DED">
        <w:rPr>
          <w:noProof/>
          <w:sz w:val="24"/>
          <w:szCs w:val="24"/>
        </w:rPr>
        <w:t>, 2022. https://doi.org/10.21462/ijefl.v7i1.470.</w:t>
      </w:r>
    </w:p>
    <w:p w14:paraId="038D0994" w14:textId="77777777" w:rsidR="00E3378B" w:rsidRPr="002D3DED" w:rsidRDefault="00E3378B" w:rsidP="00E3378B">
      <w:pPr>
        <w:autoSpaceDE w:val="0"/>
        <w:autoSpaceDN w:val="0"/>
        <w:adjustRightInd w:val="0"/>
        <w:spacing w:line="240" w:lineRule="auto"/>
        <w:ind w:left="480" w:hanging="480"/>
        <w:jc w:val="both"/>
        <w:rPr>
          <w:noProof/>
          <w:sz w:val="24"/>
          <w:szCs w:val="24"/>
        </w:rPr>
      </w:pPr>
      <w:r w:rsidRPr="002D3DED">
        <w:rPr>
          <w:noProof/>
          <w:sz w:val="24"/>
          <w:szCs w:val="24"/>
        </w:rPr>
        <w:t xml:space="preserve">Sularso, Sularso, Muhammad Jazuli, Djuli Djatiprambudi, and Bao Hanshi. “Revitalizing Cultural Heritage: Strategies for Teaching Indonesian Traditional Music in Elementary Schools.” </w:t>
      </w:r>
      <w:r w:rsidRPr="002D3DED">
        <w:rPr>
          <w:i/>
          <w:iCs/>
          <w:noProof/>
          <w:sz w:val="24"/>
          <w:szCs w:val="24"/>
        </w:rPr>
        <w:t>International Journal of Education and Learning</w:t>
      </w:r>
      <w:r w:rsidRPr="002D3DED">
        <w:rPr>
          <w:noProof/>
          <w:sz w:val="24"/>
          <w:szCs w:val="24"/>
        </w:rPr>
        <w:t>, 2023. https://doi.org/10.31763/ijele.v5i1.1016.</w:t>
      </w:r>
    </w:p>
    <w:p w14:paraId="54B5123C" w14:textId="77777777" w:rsidR="00E3378B" w:rsidRPr="002D3DED" w:rsidRDefault="00E3378B" w:rsidP="00E3378B">
      <w:pPr>
        <w:autoSpaceDE w:val="0"/>
        <w:autoSpaceDN w:val="0"/>
        <w:adjustRightInd w:val="0"/>
        <w:spacing w:after="240" w:line="276" w:lineRule="auto"/>
        <w:ind w:left="480" w:hanging="480"/>
        <w:jc w:val="both"/>
        <w:rPr>
          <w:noProof/>
          <w:sz w:val="24"/>
          <w:szCs w:val="24"/>
        </w:rPr>
      </w:pPr>
      <w:r w:rsidRPr="002D3DED">
        <w:rPr>
          <w:noProof/>
          <w:sz w:val="24"/>
          <w:szCs w:val="24"/>
        </w:rPr>
        <w:t xml:space="preserve">Sunardi, Sunardi, M Maulana Yusuf, Gunarhadi, Priyono Priyono, and John L Yeager. “The Implementation of Inclusive Education for Students With Special Needs in Indonesia.” </w:t>
      </w:r>
      <w:r w:rsidRPr="002D3DED">
        <w:rPr>
          <w:i/>
          <w:iCs/>
          <w:noProof/>
          <w:sz w:val="24"/>
          <w:szCs w:val="24"/>
        </w:rPr>
        <w:t xml:space="preserve">Excellence in </w:t>
      </w:r>
      <w:r w:rsidRPr="00E3378B">
        <w:rPr>
          <w:rFonts w:ascii="Palatino Linotype" w:hAnsi="Palatino Linotype"/>
          <w:i/>
          <w:iCs/>
          <w:noProof/>
          <w:sz w:val="22"/>
          <w:szCs w:val="22"/>
        </w:rPr>
        <w:t>Higher</w:t>
      </w:r>
      <w:r w:rsidRPr="002D3DED">
        <w:rPr>
          <w:i/>
          <w:iCs/>
          <w:noProof/>
          <w:sz w:val="24"/>
          <w:szCs w:val="24"/>
        </w:rPr>
        <w:t xml:space="preserve"> Education</w:t>
      </w:r>
      <w:r w:rsidRPr="002D3DED">
        <w:rPr>
          <w:noProof/>
          <w:sz w:val="24"/>
          <w:szCs w:val="24"/>
        </w:rPr>
        <w:t>, 2011. https://doi.org/10.5195/ehe.2011.27.</w:t>
      </w:r>
    </w:p>
    <w:p w14:paraId="41896CBA" w14:textId="77777777" w:rsidR="00E3378B" w:rsidRPr="002D3DED" w:rsidRDefault="00E3378B" w:rsidP="00E3378B">
      <w:pPr>
        <w:autoSpaceDE w:val="0"/>
        <w:autoSpaceDN w:val="0"/>
        <w:adjustRightInd w:val="0"/>
        <w:spacing w:line="240" w:lineRule="auto"/>
        <w:ind w:left="480" w:hanging="480"/>
        <w:jc w:val="both"/>
        <w:rPr>
          <w:noProof/>
          <w:sz w:val="24"/>
          <w:szCs w:val="24"/>
        </w:rPr>
      </w:pPr>
      <w:r w:rsidRPr="002D3DED">
        <w:rPr>
          <w:noProof/>
          <w:sz w:val="24"/>
          <w:szCs w:val="24"/>
        </w:rPr>
        <w:t xml:space="preserve">Tursini, Umi. “Exploring Changes in Teachers’ Instructional Practice Through Self-Evaluation as a Meditational Activity: A Case Study.” </w:t>
      </w:r>
      <w:r w:rsidRPr="002D3DED">
        <w:rPr>
          <w:i/>
          <w:iCs/>
          <w:noProof/>
          <w:sz w:val="24"/>
          <w:szCs w:val="24"/>
        </w:rPr>
        <w:t>Journal of Language Teaching and Research</w:t>
      </w:r>
      <w:r w:rsidRPr="002D3DED">
        <w:rPr>
          <w:noProof/>
          <w:sz w:val="24"/>
          <w:szCs w:val="24"/>
        </w:rPr>
        <w:t>, 2017. https://doi.org/10.17507/jltr.0803.14.</w:t>
      </w:r>
    </w:p>
    <w:p w14:paraId="501CE8BF" w14:textId="77777777" w:rsidR="00E3378B" w:rsidRPr="002D3DED" w:rsidRDefault="00E3378B" w:rsidP="00E3378B">
      <w:pPr>
        <w:autoSpaceDE w:val="0"/>
        <w:autoSpaceDN w:val="0"/>
        <w:adjustRightInd w:val="0"/>
        <w:spacing w:line="240" w:lineRule="auto"/>
        <w:ind w:left="480" w:hanging="480"/>
        <w:jc w:val="both"/>
        <w:rPr>
          <w:noProof/>
          <w:sz w:val="24"/>
        </w:rPr>
      </w:pPr>
      <w:r w:rsidRPr="002D3DED">
        <w:rPr>
          <w:noProof/>
          <w:sz w:val="24"/>
          <w:szCs w:val="24"/>
        </w:rPr>
        <w:t xml:space="preserve">Wahyuningsih, Sri Endah, Muhamad Afandi, Destina Kasriyati, and Farid Khoeroni. “Barriers to Teaching English to Non-Native English-Speaking Teachers in Indonesian Secondary Schools: Policy Recommendations.” </w:t>
      </w:r>
      <w:r w:rsidRPr="002D3DED">
        <w:rPr>
          <w:i/>
          <w:iCs/>
          <w:noProof/>
          <w:sz w:val="24"/>
          <w:szCs w:val="24"/>
        </w:rPr>
        <w:t>European Journal of Educational Research</w:t>
      </w:r>
      <w:r w:rsidRPr="002D3DED">
        <w:rPr>
          <w:noProof/>
          <w:sz w:val="24"/>
          <w:szCs w:val="24"/>
        </w:rPr>
        <w:t>, 2023. https://doi.org/10.12973/eu-jer.12.4.1617.</w:t>
      </w:r>
    </w:p>
    <w:p w14:paraId="0019C4AD" w14:textId="77777777" w:rsidR="00E3378B" w:rsidRPr="002425DF" w:rsidRDefault="00E3378B" w:rsidP="00E3378B">
      <w:pPr>
        <w:jc w:val="both"/>
        <w:rPr>
          <w:shd w:val="clear" w:color="auto" w:fill="FFFFFF"/>
          <w:lang w:val="id-ID"/>
        </w:rPr>
      </w:pPr>
      <w:r w:rsidRPr="002425DF">
        <w:rPr>
          <w:shd w:val="clear" w:color="auto" w:fill="FFFFFF"/>
          <w:lang w:val="id-ID"/>
        </w:rPr>
        <w:fldChar w:fldCharType="end"/>
      </w:r>
    </w:p>
    <w:p w14:paraId="30A86AB8" w14:textId="779AD9CA" w:rsidR="00C569FD" w:rsidRPr="00C569FD" w:rsidRDefault="00C569FD" w:rsidP="00E3378B">
      <w:pPr>
        <w:autoSpaceDE w:val="0"/>
        <w:autoSpaceDN w:val="0"/>
        <w:adjustRightInd w:val="0"/>
        <w:spacing w:line="360" w:lineRule="auto"/>
        <w:jc w:val="both"/>
        <w:rPr>
          <w:rFonts w:ascii="Palatino Linotype" w:hAnsi="Palatino Linotype"/>
          <w:noProof/>
          <w:sz w:val="22"/>
        </w:rPr>
      </w:pPr>
      <w:r w:rsidRPr="00C569FD">
        <w:rPr>
          <w:rFonts w:ascii="Palatino Linotype" w:hAnsi="Palatino Linotype"/>
          <w:noProof/>
          <w:sz w:val="22"/>
          <w:szCs w:val="24"/>
        </w:rPr>
        <w:t>.</w:t>
      </w:r>
    </w:p>
    <w:p w14:paraId="22866D9C" w14:textId="0FE1D8F4" w:rsidR="0087261B" w:rsidRPr="0087261B" w:rsidRDefault="0087261B" w:rsidP="00C569FD">
      <w:pPr>
        <w:spacing w:line="360" w:lineRule="auto"/>
        <w:jc w:val="both"/>
        <w:rPr>
          <w:rFonts w:ascii="Palatino Linotype" w:eastAsia="Palatino Linotype" w:hAnsi="Palatino Linotype" w:cs="Palatino Linotype"/>
          <w:iCs/>
          <w:sz w:val="22"/>
          <w:szCs w:val="22"/>
        </w:rPr>
      </w:pPr>
      <w:r>
        <w:rPr>
          <w:rFonts w:ascii="Palatino Linotype" w:eastAsia="Palatino Linotype" w:hAnsi="Palatino Linotype" w:cs="Palatino Linotype"/>
          <w:iCs/>
          <w:sz w:val="22"/>
          <w:szCs w:val="22"/>
        </w:rPr>
        <w:fldChar w:fldCharType="end"/>
      </w:r>
    </w:p>
    <w:sectPr w:rsidR="0087261B" w:rsidRPr="0087261B" w:rsidSect="00200F09">
      <w:headerReference w:type="even" r:id="rId14"/>
      <w:headerReference w:type="default" r:id="rId15"/>
      <w:footerReference w:type="even" r:id="rId16"/>
      <w:footerReference w:type="default" r:id="rId17"/>
      <w:headerReference w:type="first" r:id="rId18"/>
      <w:footerReference w:type="first" r:id="rId19"/>
      <w:pgSz w:w="11907" w:h="16840"/>
      <w:pgMar w:top="373" w:right="1134" w:bottom="1134" w:left="1134" w:header="567" w:footer="567" w:gutter="0"/>
      <w:pgNumType w:start="214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13468" w14:textId="77777777" w:rsidR="00620C63" w:rsidRDefault="00620C63">
      <w:pPr>
        <w:spacing w:line="240" w:lineRule="auto"/>
      </w:pPr>
      <w:r>
        <w:separator/>
      </w:r>
    </w:p>
  </w:endnote>
  <w:endnote w:type="continuationSeparator" w:id="0">
    <w:p w14:paraId="1E4062BD" w14:textId="77777777" w:rsidR="00620C63" w:rsidRDefault="00620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Quintessential">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9FA1A" w14:textId="77777777" w:rsidR="0078495C" w:rsidRDefault="00A12A6F">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i/>
        <w:color w:val="000000"/>
        <w:sz w:val="22"/>
        <w:szCs w:val="22"/>
      </w:rPr>
    </w:pPr>
    <w:r>
      <w:rPr>
        <w:rFonts w:ascii="Palatino Linotype" w:eastAsia="Palatino Linotype" w:hAnsi="Palatino Linotype" w:cs="Palatino Linotype"/>
        <w:color w:val="000000"/>
        <w:sz w:val="20"/>
      </w:rPr>
      <w:fldChar w:fldCharType="begin"/>
    </w:r>
    <w:r>
      <w:rPr>
        <w:rFonts w:ascii="Palatino Linotype" w:eastAsia="Palatino Linotype" w:hAnsi="Palatino Linotype" w:cs="Palatino Linotype"/>
        <w:color w:val="000000"/>
        <w:sz w:val="20"/>
      </w:rPr>
      <w:instrText>PAGE</w:instrText>
    </w:r>
    <w:r>
      <w:rPr>
        <w:rFonts w:ascii="Palatino Linotype" w:eastAsia="Palatino Linotype" w:hAnsi="Palatino Linotype" w:cs="Palatino Linotype"/>
        <w:color w:val="000000"/>
        <w:sz w:val="20"/>
      </w:rPr>
      <w:fldChar w:fldCharType="separate"/>
    </w:r>
    <w:r w:rsidR="00AE1144">
      <w:rPr>
        <w:rFonts w:ascii="Palatino Linotype" w:eastAsia="Palatino Linotype" w:hAnsi="Palatino Linotype" w:cs="Palatino Linotype"/>
        <w:noProof/>
        <w:color w:val="000000"/>
        <w:sz w:val="20"/>
      </w:rPr>
      <w:t>2156</w:t>
    </w:r>
    <w:r>
      <w:rPr>
        <w:rFonts w:ascii="Palatino Linotype" w:eastAsia="Palatino Linotype" w:hAnsi="Palatino Linotype" w:cs="Palatino Linotype"/>
        <w:color w:val="000000"/>
        <w:sz w:val="20"/>
      </w:rPr>
      <w:fldChar w:fldCharType="end"/>
    </w:r>
    <w:r>
      <w:rPr>
        <w:rFonts w:ascii="Palatino Linotype" w:eastAsia="Palatino Linotype" w:hAnsi="Palatino Linotype" w:cs="Palatino Linotype"/>
        <w:color w:val="000000"/>
        <w:sz w:val="20"/>
      </w:rPr>
      <w:tab/>
    </w:r>
    <w:r>
      <w:rPr>
        <w:noProof/>
        <w:lang w:val="id-ID" w:eastAsia="id-ID"/>
      </w:rPr>
      <mc:AlternateContent>
        <mc:Choice Requires="wps">
          <w:drawing>
            <wp:anchor distT="0" distB="0" distL="114297" distR="114297" simplePos="0" relativeHeight="251662336" behindDoc="0" locked="0" layoutInCell="1" hidden="0" allowOverlap="1" wp14:anchorId="25BDC872" wp14:editId="7CBF8EA2">
              <wp:simplePos x="0" y="0"/>
              <wp:positionH relativeFrom="column">
                <wp:posOffset>190497</wp:posOffset>
              </wp:positionH>
              <wp:positionV relativeFrom="paragraph">
                <wp:posOffset>0</wp:posOffset>
              </wp:positionV>
              <wp:extent cx="0" cy="290830"/>
              <wp:effectExtent l="0" t="0" r="0" b="0"/>
              <wp:wrapNone/>
              <wp:docPr id="137" name="Straight Arrow Connector 137"/>
              <wp:cNvGraphicFramePr/>
              <a:graphic xmlns:a="http://schemas.openxmlformats.org/drawingml/2006/main">
                <a:graphicData uri="http://schemas.microsoft.com/office/word/2010/wordprocessingShape">
                  <wps:wsp>
                    <wps:cNvCnPr/>
                    <wps:spPr>
                      <a:xfrm>
                        <a:off x="5346000" y="3634585"/>
                        <a:ext cx="0" cy="29083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oel="http://schemas.microsoft.com/office/2019/extlst"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297" distR="114297" hidden="0" layoutInCell="1" locked="0" relativeHeight="0" simplePos="0">
              <wp:simplePos x="0" y="0"/>
              <wp:positionH relativeFrom="column">
                <wp:posOffset>190497</wp:posOffset>
              </wp:positionH>
              <wp:positionV relativeFrom="paragraph">
                <wp:posOffset>0</wp:posOffset>
              </wp:positionV>
              <wp:extent cx="0" cy="290830"/>
              <wp:effectExtent b="0" l="0" r="0" t="0"/>
              <wp:wrapNone/>
              <wp:docPr id="137"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290830"/>
                      </a:xfrm>
                      <a:prstGeom prst="rect"/>
                      <a:ln/>
                    </pic:spPr>
                  </pic:pic>
                </a:graphicData>
              </a:graphic>
            </wp:anchor>
          </w:drawing>
        </mc:Fallback>
      </mc:AlternateContent>
    </w:r>
  </w:p>
  <w:p w14:paraId="30FC7BC8" w14:textId="77777777" w:rsidR="0078495C" w:rsidRDefault="0078495C"/>
  <w:p w14:paraId="61257FCF" w14:textId="77777777" w:rsidR="0078495C" w:rsidRDefault="0078495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2AE03" w14:textId="1AA7DACB" w:rsidR="0078495C" w:rsidRDefault="00A12A6F" w:rsidP="00200F09">
    <w:pPr>
      <w:widowControl/>
      <w:pBdr>
        <w:top w:val="nil"/>
        <w:left w:val="nil"/>
        <w:bottom w:val="nil"/>
        <w:right w:val="nil"/>
        <w:between w:val="nil"/>
      </w:pBdr>
      <w:tabs>
        <w:tab w:val="right" w:pos="8505"/>
      </w:tabs>
      <w:spacing w:line="240" w:lineRule="auto"/>
      <w:rPr>
        <w:rFonts w:ascii="Book Antiqua" w:eastAsia="Book Antiqua" w:hAnsi="Book Antiqua" w:cs="Book Antiqua"/>
        <w:color w:val="000000"/>
        <w:sz w:val="20"/>
      </w:rPr>
    </w:pPr>
    <w:r>
      <w:rPr>
        <w:rFonts w:ascii="Garamond" w:eastAsia="Garamond" w:hAnsi="Garamond" w:cs="Garamond"/>
        <w:i/>
        <w:color w:val="000000"/>
      </w:rPr>
      <w:t xml:space="preserve">    </w:t>
    </w:r>
    <w:r>
      <w:rPr>
        <w:rFonts w:ascii="Garamond" w:eastAsia="Garamond" w:hAnsi="Garamond" w:cs="Garamond"/>
        <w:i/>
        <w:color w:val="000000"/>
      </w:rPr>
      <w:tab/>
      <w:t xml:space="preserve">  </w:t>
    </w:r>
    <w:r>
      <w:rPr>
        <w:rFonts w:ascii="Book Antiqua" w:eastAsia="Book Antiqua" w:hAnsi="Book Antiqua" w:cs="Book Antiqua"/>
        <w:color w:val="000000"/>
        <w:sz w:val="20"/>
      </w:rPr>
      <w:fldChar w:fldCharType="begin"/>
    </w:r>
    <w:r>
      <w:rPr>
        <w:rFonts w:ascii="Book Antiqua" w:eastAsia="Book Antiqua" w:hAnsi="Book Antiqua" w:cs="Book Antiqua"/>
        <w:color w:val="000000"/>
        <w:sz w:val="20"/>
      </w:rPr>
      <w:instrText>PAGE</w:instrText>
    </w:r>
    <w:r>
      <w:rPr>
        <w:rFonts w:ascii="Book Antiqua" w:eastAsia="Book Antiqua" w:hAnsi="Book Antiqua" w:cs="Book Antiqua"/>
        <w:color w:val="000000"/>
        <w:sz w:val="20"/>
      </w:rPr>
      <w:fldChar w:fldCharType="separate"/>
    </w:r>
    <w:r w:rsidR="00AE1144">
      <w:rPr>
        <w:rFonts w:ascii="Book Antiqua" w:eastAsia="Book Antiqua" w:hAnsi="Book Antiqua" w:cs="Book Antiqua"/>
        <w:noProof/>
        <w:color w:val="000000"/>
        <w:sz w:val="20"/>
      </w:rPr>
      <w:t>2155</w:t>
    </w:r>
    <w:r>
      <w:rPr>
        <w:rFonts w:ascii="Book Antiqua" w:eastAsia="Book Antiqua" w:hAnsi="Book Antiqua" w:cs="Book Antiqua"/>
        <w:color w:val="000000"/>
        <w:sz w:val="20"/>
      </w:rPr>
      <w:fldChar w:fldCharType="end"/>
    </w:r>
    <w:r>
      <w:rPr>
        <w:noProof/>
        <w:lang w:val="id-ID" w:eastAsia="id-ID"/>
      </w:rPr>
      <mc:AlternateContent>
        <mc:Choice Requires="wps">
          <w:drawing>
            <wp:anchor distT="0" distB="0" distL="114297" distR="114297" simplePos="0" relativeHeight="251660288" behindDoc="0" locked="0" layoutInCell="1" hidden="0" allowOverlap="1" wp14:anchorId="5BCFD928" wp14:editId="4FCABA8F">
              <wp:simplePos x="0" y="0"/>
              <wp:positionH relativeFrom="column">
                <wp:posOffset>5092697</wp:posOffset>
              </wp:positionH>
              <wp:positionV relativeFrom="paragraph">
                <wp:posOffset>0</wp:posOffset>
              </wp:positionV>
              <wp:extent cx="0" cy="290830"/>
              <wp:effectExtent l="0" t="0" r="0" b="0"/>
              <wp:wrapNone/>
              <wp:docPr id="141" name="Straight Arrow Connector 141"/>
              <wp:cNvGraphicFramePr/>
              <a:graphic xmlns:a="http://schemas.openxmlformats.org/drawingml/2006/main">
                <a:graphicData uri="http://schemas.microsoft.com/office/word/2010/wordprocessingShape">
                  <wps:wsp>
                    <wps:cNvCnPr/>
                    <wps:spPr>
                      <a:xfrm>
                        <a:off x="5346000" y="3634585"/>
                        <a:ext cx="0" cy="29083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oel="http://schemas.microsoft.com/office/2019/extlst"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297" distR="114297" hidden="0" layoutInCell="1" locked="0" relativeHeight="0" simplePos="0">
              <wp:simplePos x="0" y="0"/>
              <wp:positionH relativeFrom="column">
                <wp:posOffset>5092697</wp:posOffset>
              </wp:positionH>
              <wp:positionV relativeFrom="paragraph">
                <wp:posOffset>0</wp:posOffset>
              </wp:positionV>
              <wp:extent cx="0" cy="290830"/>
              <wp:effectExtent b="0" l="0" r="0" t="0"/>
              <wp:wrapNone/>
              <wp:docPr id="141"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0" cy="290830"/>
                      </a:xfrm>
                      <a:prstGeom prst="rect"/>
                      <a:ln/>
                    </pic:spPr>
                  </pic:pic>
                </a:graphicData>
              </a:graphic>
            </wp:anchor>
          </w:drawing>
        </mc:Fallback>
      </mc:AlternateContent>
    </w:r>
  </w:p>
  <w:p w14:paraId="2E8A7EBC" w14:textId="77777777" w:rsidR="0078495C" w:rsidRDefault="0078495C"/>
  <w:p w14:paraId="122CBD61" w14:textId="77777777" w:rsidR="0078495C" w:rsidRDefault="0078495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594B7" w14:textId="77777777" w:rsidR="0078495C" w:rsidRDefault="00A12A6F">
    <w:pPr>
      <w:spacing w:line="240" w:lineRule="auto"/>
      <w:ind w:left="851" w:right="850"/>
      <w:jc w:val="center"/>
      <w:rPr>
        <w:rFonts w:ascii="Palatino Linotype" w:eastAsia="Palatino Linotype" w:hAnsi="Palatino Linotype" w:cs="Palatino Linotype"/>
        <w:sz w:val="20"/>
      </w:rPr>
    </w:pPr>
    <w:r>
      <w:t xml:space="preserve"> </w:t>
    </w:r>
    <w:r>
      <w:rPr>
        <w:rFonts w:ascii="Palatino Linotype" w:eastAsia="Palatino Linotype" w:hAnsi="Palatino Linotype" w:cs="Palatino Linotype"/>
        <w:sz w:val="20"/>
      </w:rPr>
      <w:t xml:space="preserve">Published by </w:t>
    </w:r>
    <w:proofErr w:type="spellStart"/>
    <w:r>
      <w:rPr>
        <w:rFonts w:ascii="Palatino Linotype" w:eastAsia="Palatino Linotype" w:hAnsi="Palatino Linotype" w:cs="Palatino Linotype"/>
        <w:sz w:val="20"/>
      </w:rPr>
      <w:t>Institut</w:t>
    </w:r>
    <w:proofErr w:type="spellEnd"/>
    <w:r>
      <w:rPr>
        <w:rFonts w:ascii="Palatino Linotype" w:eastAsia="Palatino Linotype" w:hAnsi="Palatino Linotype" w:cs="Palatino Linotype"/>
        <w:sz w:val="20"/>
      </w:rPr>
      <w:t xml:space="preserve"> Agama Islam </w:t>
    </w:r>
    <w:proofErr w:type="spellStart"/>
    <w:r>
      <w:rPr>
        <w:rFonts w:ascii="Palatino Linotype" w:eastAsia="Palatino Linotype" w:hAnsi="Palatino Linotype" w:cs="Palatino Linotype"/>
        <w:sz w:val="20"/>
      </w:rPr>
      <w:t>Sunan</w:t>
    </w:r>
    <w:proofErr w:type="spellEnd"/>
    <w:r>
      <w:rPr>
        <w:rFonts w:ascii="Palatino Linotype" w:eastAsia="Palatino Linotype" w:hAnsi="Palatino Linotype" w:cs="Palatino Linotype"/>
        <w:sz w:val="20"/>
      </w:rPr>
      <w:t xml:space="preserve"> </w:t>
    </w:r>
    <w:proofErr w:type="spellStart"/>
    <w:r>
      <w:rPr>
        <w:rFonts w:ascii="Palatino Linotype" w:eastAsia="Palatino Linotype" w:hAnsi="Palatino Linotype" w:cs="Palatino Linotype"/>
        <w:sz w:val="20"/>
      </w:rPr>
      <w:t>Giri</w:t>
    </w:r>
    <w:proofErr w:type="spellEnd"/>
    <w:r>
      <w:rPr>
        <w:rFonts w:ascii="Palatino Linotype" w:eastAsia="Palatino Linotype" w:hAnsi="Palatino Linotype" w:cs="Palatino Linotype"/>
        <w:sz w:val="20"/>
      </w:rPr>
      <w:t xml:space="preserve"> (INSURI) </w:t>
    </w:r>
    <w:proofErr w:type="spellStart"/>
    <w:r>
      <w:rPr>
        <w:rFonts w:ascii="Palatino Linotype" w:eastAsia="Palatino Linotype" w:hAnsi="Palatino Linotype" w:cs="Palatino Linotype"/>
        <w:sz w:val="20"/>
      </w:rPr>
      <w:t>Ponorogo</w:t>
    </w:r>
    <w:proofErr w:type="spellEnd"/>
    <w:r>
      <w:rPr>
        <w:rFonts w:ascii="Palatino Linotype" w:eastAsia="Palatino Linotype" w:hAnsi="Palatino Linotype" w:cs="Palatino Linotype"/>
        <w:sz w:val="20"/>
      </w:rPr>
      <w:t>; Indonesia</w:t>
    </w:r>
    <w:r>
      <w:rPr>
        <w:noProof/>
        <w:lang w:val="id-ID" w:eastAsia="id-ID"/>
      </w:rPr>
      <mc:AlternateContent>
        <mc:Choice Requires="wps">
          <w:drawing>
            <wp:anchor distT="0" distB="0" distL="114300" distR="114300" simplePos="0" relativeHeight="251661312" behindDoc="0" locked="0" layoutInCell="1" hidden="0" allowOverlap="1" wp14:anchorId="2F63D06C" wp14:editId="233F9C39">
              <wp:simplePos x="0" y="0"/>
              <wp:positionH relativeFrom="column">
                <wp:posOffset>482600</wp:posOffset>
              </wp:positionH>
              <wp:positionV relativeFrom="paragraph">
                <wp:posOffset>-25399</wp:posOffset>
              </wp:positionV>
              <wp:extent cx="0" cy="12700"/>
              <wp:effectExtent l="0" t="0" r="0" b="0"/>
              <wp:wrapNone/>
              <wp:docPr id="140" name="Straight Arrow Connector 140"/>
              <wp:cNvGraphicFramePr/>
              <a:graphic xmlns:a="http://schemas.openxmlformats.org/drawingml/2006/main">
                <a:graphicData uri="http://schemas.microsoft.com/office/word/2010/wordprocessingShape">
                  <wps:wsp>
                    <wps:cNvCnPr/>
                    <wps:spPr>
                      <a:xfrm>
                        <a:off x="2806000" y="3780000"/>
                        <a:ext cx="50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oel="http://schemas.microsoft.com/office/2019/extlst"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482600</wp:posOffset>
              </wp:positionH>
              <wp:positionV relativeFrom="paragraph">
                <wp:posOffset>-25399</wp:posOffset>
              </wp:positionV>
              <wp:extent cx="0" cy="12700"/>
              <wp:effectExtent b="0" l="0" r="0" t="0"/>
              <wp:wrapNone/>
              <wp:docPr id="140"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633716AE" w14:textId="77777777" w:rsidR="0078495C" w:rsidRDefault="00A12A6F">
    <w:pPr>
      <w:spacing w:line="240" w:lineRule="auto"/>
      <w:ind w:left="851" w:right="850"/>
      <w:jc w:val="center"/>
      <w:rPr>
        <w:rFonts w:ascii="Palatino Linotype" w:eastAsia="Palatino Linotype" w:hAnsi="Palatino Linotype" w:cs="Palatino Linotype"/>
        <w:sz w:val="20"/>
      </w:rPr>
    </w:pPr>
    <w:r>
      <w:rPr>
        <w:rFonts w:ascii="Palatino Linotype" w:eastAsia="Palatino Linotype" w:hAnsi="Palatino Linotype" w:cs="Palatino Linotype"/>
        <w:sz w:val="20"/>
      </w:rPr>
      <w:t>Accredited Sinta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8EBDF" w14:textId="77777777" w:rsidR="00620C63" w:rsidRDefault="00620C63">
      <w:pPr>
        <w:spacing w:line="240" w:lineRule="auto"/>
      </w:pPr>
      <w:r>
        <w:separator/>
      </w:r>
    </w:p>
  </w:footnote>
  <w:footnote w:type="continuationSeparator" w:id="0">
    <w:p w14:paraId="24EDA783" w14:textId="77777777" w:rsidR="00620C63" w:rsidRDefault="00620C63">
      <w:pPr>
        <w:spacing w:line="240" w:lineRule="auto"/>
      </w:pPr>
      <w:r>
        <w:continuationSeparator/>
      </w:r>
    </w:p>
  </w:footnote>
  <w:footnote w:id="1">
    <w:p w14:paraId="59E6DA51" w14:textId="77777777" w:rsidR="00E3378B" w:rsidRPr="002D3DED" w:rsidRDefault="00E3378B" w:rsidP="00E3378B">
      <w:pPr>
        <w:pStyle w:val="FootnoteText"/>
        <w:ind w:firstLine="426"/>
      </w:pPr>
      <w:r w:rsidRPr="002D3DED">
        <w:rPr>
          <w:rStyle w:val="FootnoteReference"/>
        </w:rPr>
        <w:footnoteRef/>
      </w:r>
      <w:r w:rsidRPr="002D3DED">
        <w:t xml:space="preserve"> </w:t>
      </w:r>
      <w:r w:rsidRPr="002D3DED">
        <w:fldChar w:fldCharType="begin" w:fldLock="1"/>
      </w:r>
      <w:r w:rsidRPr="002D3DED">
        <w:instrText>ADDIN CSL_CITATION {"citationItems":[{"id":"ITEM-1","itemData":{"author":[{"dropping-particle":"","family":"Sauri","given":"Sofyan","non-dropping-particle":"","parse-names":false,"suffix":""}],"container-title":"Bandung: UPI","id":"ITEM-1","issued":{"date-parts":[["2016"]]},"title":"Strategi pembangunan bidang pendidikan untuk mewujudkan pendidikan bermutu","type":"article-journal"},"uris":["http://www.mendeley.com/documents/?uuid=5dfc9691-2714-45ef-8739-f6f4b458beb6","http://www.mendeley.com/documents/?uuid=8fddffb8-b7d6-43fe-be8b-38ebc95e2c34","http://www.mendeley.com/documents/?uuid=7aa758b6-ac27-4efc-b516-f9185b5ffae6"]}],"mendeley":{"formattedCitation":"Sofyan Sauri, “Strategi Pembangunan Bidang Pendidikan Untuk Mewujudkan Pendidikan Bermutu,” &lt;i&gt;Bandung: UPI&lt;/i&gt;, 2016.","plainTextFormattedCitation":"Sofyan Sauri, “Strategi Pembangunan Bidang Pendidikan Untuk Mewujudkan Pendidikan Bermutu,” Bandung: UPI, 2016.","previouslyFormattedCitation":"(Sauri, 2016)"},"properties":{"noteIndex":1},"schema":"https://github.com/citation-style-language/schema/raw/master/csl-citation.json"}</w:instrText>
      </w:r>
      <w:r w:rsidRPr="002D3DED">
        <w:fldChar w:fldCharType="separate"/>
      </w:r>
      <w:r w:rsidRPr="002D3DED">
        <w:rPr>
          <w:noProof/>
        </w:rPr>
        <w:t xml:space="preserve">Sofyan Sauri, “Strategi Pembangunan Bidang Pendidikan Untuk Mewujudkan Pendidikan Bermutu,” </w:t>
      </w:r>
      <w:r w:rsidRPr="002D3DED">
        <w:rPr>
          <w:i/>
          <w:noProof/>
        </w:rPr>
        <w:t>Bandung: UPI</w:t>
      </w:r>
      <w:r w:rsidRPr="002D3DED">
        <w:rPr>
          <w:noProof/>
        </w:rPr>
        <w:t>, 2016.</w:t>
      </w:r>
      <w:r w:rsidRPr="002D3DED">
        <w:fldChar w:fldCharType="end"/>
      </w:r>
    </w:p>
  </w:footnote>
  <w:footnote w:id="2">
    <w:p w14:paraId="08523AF5" w14:textId="77777777" w:rsidR="00E3378B" w:rsidRPr="002D3DED" w:rsidRDefault="00E3378B" w:rsidP="00E3378B">
      <w:pPr>
        <w:pStyle w:val="FootnoteText"/>
        <w:ind w:firstLine="567"/>
        <w:jc w:val="both"/>
      </w:pPr>
      <w:r w:rsidRPr="002D3DED">
        <w:rPr>
          <w:rStyle w:val="FootnoteReference"/>
        </w:rPr>
        <w:footnoteRef/>
      </w:r>
      <w:r w:rsidRPr="002D3DED">
        <w:t xml:space="preserve"> </w:t>
      </w:r>
      <w:r w:rsidRPr="002D3DED">
        <w:fldChar w:fldCharType="begin" w:fldLock="1"/>
      </w:r>
      <w:r w:rsidRPr="002D3DED">
        <w:instrText>ADDIN CSL_CITATION {"citationItems":[{"id":"ITEM-1","itemData":{"author":[{"dropping-particle":"","family":"Noviansyah","given":"K A","non-dropping-particle":"","parse-names":false,"suffix":""},{"dropping-particle":"","family":"Reza","given":"K M Faisal","non-dropping-particle":"","parse-names":false,"suffix":""}],"container-title":"Jurnal Cakrawala Ilmiah","id":"ITEM-1","issue":"12","issued":{"date-parts":[["2023"]]},"page":"4553-4568","title":"Analisis Putusan Mahkamah Konstitusi Nomor 5/Puu-X/2012 Tentang Pengujian Pasal 50 Ayat (3) Undang-Undang Nomor 20 Tahun 2003 Tentang Sistem Pendidikan Nasional","type":"article-journal","volume":"2"},"uris":["http://www.mendeley.com/documents/?uuid=003e43e0-8d68-4f4e-b7c2-028443fcf306","http://www.mendeley.com/documents/?uuid=d3ee025c-a020-4fb8-a8c2-0c7be11d5b8e","http://www.mendeley.com/documents/?uuid=995badc0-2911-4fb1-b91d-6175922a3f16"]}],"mendeley":{"formattedCitation":"K A Noviansyah and K M Faisal Reza, “Analisis Putusan Mahkamah Konstitusi Nomor 5/Puu-X/2012 Tentang Pengujian Pasal 50 Ayat (3) Undang-Undang Nomor 20 Tahun 2003 Tentang Sistem Pendidikan Nasional,” &lt;i&gt;Jurnal Cakrawala Ilmiah&lt;/i&gt; 2, no. 12 (2023): 4553–68.","plainTextFormattedCitation":"K A Noviansyah and K M Faisal Reza, “Analisis Putusan Mahkamah Konstitusi Nomor 5/Puu-X/2012 Tentang Pengujian Pasal 50 Ayat (3) Undang-Undang Nomor 20 Tahun 2003 Tentang Sistem Pendidikan Nasional,” Jurnal Cakrawala Ilmiah 2, no. 12 (2023): 4553–68.","previouslyFormattedCitation":"(Noviansyah &amp; Reza, 2023)"},"properties":{"noteIndex":2},"schema":"https://github.com/citation-style-language/schema/raw/master/csl-citation.json"}</w:instrText>
      </w:r>
      <w:r w:rsidRPr="002D3DED">
        <w:fldChar w:fldCharType="separate"/>
      </w:r>
      <w:r w:rsidRPr="002D3DED">
        <w:rPr>
          <w:noProof/>
        </w:rPr>
        <w:t xml:space="preserve">K A Noviansyah and K M Faisal Reza, “Analisis Putusan Mahkamah Konstitusi Nomor 5/Puu-X/2012 Tentang Pengujian Pasal 50 Ayat (3) Undang-Undang Nomor 20 Tahun 2003 Tentang Sistem Pendidikan Nasional,” </w:t>
      </w:r>
      <w:r w:rsidRPr="002D3DED">
        <w:rPr>
          <w:i/>
          <w:noProof/>
        </w:rPr>
        <w:t>Jurnal Cakrawala Ilmiah</w:t>
      </w:r>
      <w:r w:rsidRPr="002D3DED">
        <w:rPr>
          <w:noProof/>
        </w:rPr>
        <w:t xml:space="preserve"> 2, no. 12 (2023): 4553–68.</w:t>
      </w:r>
      <w:r w:rsidRPr="002D3DED">
        <w:fldChar w:fldCharType="end"/>
      </w:r>
    </w:p>
  </w:footnote>
  <w:footnote w:id="3">
    <w:p w14:paraId="55AC8133" w14:textId="77777777" w:rsidR="00E3378B" w:rsidRPr="002D3DED" w:rsidRDefault="00E3378B" w:rsidP="00E3378B">
      <w:pPr>
        <w:pStyle w:val="FootnoteText"/>
        <w:ind w:firstLine="567"/>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{"citationItems":[{"id":"ITEM-1","itemData":{"DOI":"10.12973/eu-jer.12.4.1617","author":[{"dropping-particle":"","family":"Wahyuningsih","given":"Sri Endah","non-dropping-particle":"","parse-names":false,"suffix":""},{"dropping-particle":"","family":"Afandi","given":"Muhamad","non-dropping-particle":"","parse-names":false,"suffix":""},{"dropping-particle":"","family":"Kasriyati","given":"Destina","non-dropping-particle":"","parse-names":false,"suffix":""},{"dropping-particle":"","family":"Khoeroni","given":"Farid","non-dropping-particle":"","parse-names":false,"suffix":""}],"container-title":"European Journal of Educational Research","id":"ITEM-1","issued":{"date-parts":[["2023"]]},"title":"Barriers to Teaching English to Non-Native English-Speaking Teachers in Indonesian Secondary Schools: Policy Recommendations","type":"article"},"uris":["http://www.mendeley.com/documents/?uuid=77ed1d48-f11c-4895-8ea9-519d7f118c38","http://www.mendeley.com/documents/?uuid=c5285d13-e992-4c2e-8d32-43aabf6623e2","http://www.mendeley.com/documents/?uuid=bbcc1d6f-ac7f-47be-924c-3c42c1c3a16a"]}],"mendeley":{"formattedCitation":"Sri Endah Wahyuningsih et al., “Barriers to Teaching English to Non-Native English-Speaking Teachers in Indonesian Secondary Schools: Policy Recommendations,” &lt;i&gt;European Journal of Educational Research&lt;/i&gt;, 2023, https://doi.org/10.12973/eu-jer.12.4.1617.","plainTextFormattedCitation":"Sri Endah Wahyuningsih et al., “Barriers to Teaching English to Non-Native English-Speaking Teachers in Indonesian Secondary Schools: Policy Recommendations,” European Journal of Educational Research, 2023, https://doi.org/10.12973/eu-jer.12.4.1617.","previouslyFormattedCitation":"(Wahyuningsih et al., 2023)"},"properties":{"noteIndex":3},"schema":"https://github.com/citation-style-language/schema/raw/master/csl-citation.json"}</w:instrText>
      </w:r>
      <w:r w:rsidRPr="002D3DED">
        <w:fldChar w:fldCharType="separate"/>
      </w:r>
      <w:r w:rsidRPr="002D3DED">
        <w:rPr>
          <w:noProof/>
        </w:rPr>
        <w:t xml:space="preserve">Sri Endah Wahyuningsih et al., “Barriers to Teaching English to Non-Native English-Speaking Teachers in Indonesian Secondary Schools: Policy Recommendations,” </w:t>
      </w:r>
      <w:r w:rsidRPr="002D3DED">
        <w:rPr>
          <w:i/>
          <w:noProof/>
        </w:rPr>
        <w:t>European Journal of Educational Research</w:t>
      </w:r>
      <w:r w:rsidRPr="002D3DED">
        <w:rPr>
          <w:noProof/>
        </w:rPr>
        <w:t>, 2023, https://doi.org/10.12973/eu-jer.12.4.1617.</w:t>
      </w:r>
      <w:r w:rsidRPr="002D3DED">
        <w:fldChar w:fldCharType="end"/>
      </w:r>
    </w:p>
  </w:footnote>
  <w:footnote w:id="4">
    <w:p w14:paraId="55E56435" w14:textId="77777777" w:rsidR="00E3378B" w:rsidRPr="002D3DED" w:rsidRDefault="00E3378B" w:rsidP="00E3378B">
      <w:pPr>
        <w:pStyle w:val="FootnoteText"/>
        <w:ind w:firstLine="567"/>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{"citationItems":[{"id":"ITEM-1","itemData":{"DOI":"10.17507/jltr.0803.14","author":[{"dropping-particle":"","family":"Tursini","given":"Umi","non-dropping-particle":"","parse-names":false,"suffix":""}],"container-title":"Journal of Language Teaching and Research","id":"ITEM-1","issued":{"date-parts":[["2017"]]},"title":"Exploring Changes in Teachers’ Instructional Practice Through Self-Evaluation as a Meditational Activity: A Case Study","type":"article"},"uris":["http://www.mendeley.com/documents/?uuid=46fceb90-0477-4792-9cf8-120749724f9c","http://www.mendeley.com/documents/?uuid=e5f03e6c-8915-481f-8aef-4a9d6e16445a","http://www.mendeley.com/documents/?uuid=ae57f046-1829-4394-a0cd-37274f730888"]}],"mendeley":{"formattedCitation":"Umi Tursini, “Exploring Changes in Teachers’ Instructional Practice Through Self-Evaluation as a Meditational Activity: A Case Study,” &lt;i&gt;Journal of Language Teaching and Research&lt;/i&gt;, 2017, https://doi.org/10.17507/jltr.0803.14.","plainTextFormattedCitation":"Umi Tursini, “Exploring Changes in Teachers’ Instructional Practice Through Self-Evaluation as a Meditational Activity: A Case Study,” Journal of Language Teaching and Research, 2017, https://doi.org/10.17507/jltr.0803.14.","previouslyFormattedCitation":"(Tursini, 2017)"},"properties":{"noteIndex":4},"schema":"https://github.com/citation-style-language/schema/raw/master/csl-citation.json"}</w:instrText>
      </w:r>
      <w:r w:rsidRPr="002D3DED">
        <w:fldChar w:fldCharType="separate"/>
      </w:r>
      <w:r w:rsidRPr="002D3DED">
        <w:rPr>
          <w:noProof/>
        </w:rPr>
        <w:t xml:space="preserve">Umi Tursini, “Exploring Changes in Teachers’ Instructional Practice Through Self-Evaluation as a Meditational Activity: A Case Study,” </w:t>
      </w:r>
      <w:r w:rsidRPr="002D3DED">
        <w:rPr>
          <w:i/>
          <w:noProof/>
        </w:rPr>
        <w:t>Journal of Language Teaching and Research</w:t>
      </w:r>
      <w:r w:rsidRPr="002D3DED">
        <w:rPr>
          <w:noProof/>
        </w:rPr>
        <w:t>, 2017, https://doi.org/10.17507/jltr.0803.14.</w:t>
      </w:r>
      <w:r w:rsidRPr="002D3DED">
        <w:fldChar w:fldCharType="end"/>
      </w:r>
    </w:p>
  </w:footnote>
  <w:footnote w:id="5">
    <w:p w14:paraId="5C42278F"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{"citationItems":[{"id":"ITEM-1","itemData":{"DOI":"10.5195/ehe.2011.27","author":[{"dropping-particle":"","family":"Sunardi","given":"Sunardi","non-dropping-particle":"","parse-names":false,"suffix":""},{"dropping-particle":"","family":"Yusuf","given":"M Maulana","non-dropping-particle":"","parse-names":false,"suffix":""},{"dropping-particle":"","family":"Gunarhadi","given":"","non-dropping-particle":"","parse-names":false,"suffix":""},{"dropping-particle":"","family":"Priyono","given":"Priyono","non-dropping-particle":"","parse-names":false,"suffix":""},{"dropping-particle":"","family":"Yeager","given":"John L","non-dropping-particle":"","parse-names":false,"suffix":""}],"container-title":"Excellence in Higher Education","id":"ITEM-1","issued":{"date-parts":[["2011"]]},"title":"The Implementation of Inclusive Education for Students With Special Needs in Indonesia","type":"article"},"uris":["http://www.mendeley.com/documents/?uuid=308f8bb0-7ad6-4a7d-a393-531d086904be","http://www.mendeley.com/documents/?uuid=1f26fe89-eed3-4dd6-beea-30011f0df933","http://www.mendeley.com/documents/?uuid=cccc108c-1f77-438f-9b47-e0c88e6386e9"]}],"mendeley":{"formattedCitation":"Sunardi Sunardi et al., “The Implementation of Inclusive Education for Students With Special Needs in Indonesia,” &lt;i&gt;Excellence in Higher Education&lt;/i&gt;, 2011, https://doi.org/10.5195/ehe.2011.27.","plainTextFormattedCitation":"Sunardi Sunardi et al., “The Implementation of Inclusive Education for Students With Special Needs in Indonesia,” Excellence in Higher Education, 2011, https://doi.org/10.5195/ehe.2011.27.","previouslyFormattedCitation":"(Sunardi et al., 2011)"},"properties":{"noteIndex":5},"schema":"https://github.com/citation-style-language/schema/raw/master/csl-citation.json"}</w:instrText>
      </w:r>
      <w:r w:rsidRPr="002D3DED">
        <w:fldChar w:fldCharType="separate"/>
      </w:r>
      <w:r w:rsidRPr="002D3DED">
        <w:rPr>
          <w:noProof/>
        </w:rPr>
        <w:t xml:space="preserve">Sunardi Sunardi et al., “The Implementation of Inclusive Education for Students With Special Needs in Indonesia,” </w:t>
      </w:r>
      <w:r w:rsidRPr="002D3DED">
        <w:rPr>
          <w:i/>
          <w:noProof/>
        </w:rPr>
        <w:t>Excellence in Higher Education</w:t>
      </w:r>
      <w:r w:rsidRPr="002D3DED">
        <w:rPr>
          <w:noProof/>
        </w:rPr>
        <w:t>, 2011, https://doi.org/10.5195/ehe.2011.27.</w:t>
      </w:r>
      <w:r w:rsidRPr="002D3DED">
        <w:fldChar w:fldCharType="end"/>
      </w:r>
    </w:p>
  </w:footnote>
  <w:footnote w:id="6">
    <w:p w14:paraId="70F47EC6"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10.21462/ijefl.v7i1.470","author":[{"dropping-particle":"","family":"Suherman","given":"Andri","non-dropping-particle":"","parse-names":false,"suffix":""},{"dropping-particle":"","family":"Wathoni","given":"Hamzani","non-dropping-particle":"","parse-names":false,"suffix":""}],"container-title":"Indonesian Journal of Efl and Linguistics","id":"ITEM-1","issued":{"date-parts":[["2022"]]},"title":"Examining Teachers’ Perceptions of E-Learning Tools: A Survey From Indonesian EAP Classrooms","type":"article"},"uris":["http://www.mendeley.com/documents/?uuid=0a48f2cc-0ca4-4944-a370-0cb2d2addd6f","http://www.mendeley.com/documents/?uuid=90b74b02-b281-4611-8316-77b252314bc5","http://www.mendeley.com/documents/?uuid=9d4e5dd0-7c28-4b84-a242-917a20476489"]}],"mendeley":{"formattedCitation":"Andri Suherman and Hamzani Wathoni, “Examining Teachers’ Perceptions of E-Learning Tools: A Survey From Indonesian EAP Classrooms,” &lt;i&gt;Indonesian Journal of Efl and Linguistics&lt;/i&gt;, 2022, https://doi.org/10.21462/ijefl.v7i1.470.","plainTextFormattedCitation":"Andri Suherman and Hamzani Wathoni, “Examining Teachers’ Perceptions of E-Learning Tools: A Survey From Indonesian EAP Classrooms,” Indonesian Journal of Efl and Linguistics, 2022, https://doi.org/10.21462/ijefl.v7i1.470.","previouslyFormattedCitation":"(Suherman &amp; Wathoni, 2022)"},"properties":{"noteIndex":6},"schema":"https://github.com/citation-style-language/schema/raw/master/csl-citation.json"}</w:instrText>
      </w:r>
      <w:r w:rsidRPr="002D3DED">
        <w:fldChar w:fldCharType="separate"/>
      </w:r>
      <w:r w:rsidRPr="002D3DED">
        <w:rPr>
          <w:noProof/>
        </w:rPr>
        <w:t xml:space="preserve">Andri Suherman and Hamzani Wathoni, “Examining Teachers’ Perceptions of E-Learning Tools: A Survey From Indonesian EAP Classrooms,” </w:t>
      </w:r>
      <w:r w:rsidRPr="002D3DED">
        <w:rPr>
          <w:i/>
          <w:noProof/>
        </w:rPr>
        <w:t>Indonesian Journal of Efl and Linguistics</w:t>
      </w:r>
      <w:r w:rsidRPr="002D3DED">
        <w:rPr>
          <w:noProof/>
        </w:rPr>
        <w:t>, 2022, https://doi.org/10.21462/ijefl.v7i1.470.</w:t>
      </w:r>
      <w:r w:rsidRPr="002D3DED">
        <w:fldChar w:fldCharType="end"/>
      </w:r>
    </w:p>
  </w:footnote>
  <w:footnote w:id="7">
    <w:p w14:paraId="6EB06C5C"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10.31763/ijele.v5i1.1016","author":[{"dropping-particle":"","family":"Sularso","given":"Sularso","non-dropping-particle":"","parse-names":false,"suffix":""},{"dropping-particle":"","family":"Jazuli","given":"Muhammad","non-dropping-particle":"","parse-names":false,"suffix":""},{"dropping-particle":"","family":"Djatiprambudi","given":"Djuli","non-dropping-particle":"","parse-names":false,"suffix":""},{"dropping-particle":"","family":"Hanshi","given":"Bao","non-dropping-particle":"","parse-names":false,"suffix":""}],"container-title":"International Journal of Education and Learning","id":"ITEM-1","issued":{"date-parts":[["2023"]]},"title":"Revitalizing Cultural Heritage: Strategies for Teaching Indonesian Traditional Music in Elementary Schools","type":"article"},"uris":["http://www.mendeley.com/documents/?uuid=c4ddcb24-aa36-4674-aff6-d8832de3f341","http://www.mendeley.com/documents/?uuid=b6783cfb-1a48-4277-9f57-53d2ec936768","http://www.mendeley.com/documents/?uuid=5d3164f0-aea8-40bc-8fd9-06f578380dab"]}],"mendeley":{"formattedCitation":"Sularso Sularso et al., “Revitalizing Cultural Heritage: Strategies for Teaching Indonesian Traditional Music in Elementary Schools,” &lt;i&gt;International Journal of Education and Learning&lt;/i&gt;, 2023, https://doi.org/10.31763/ijele.v5i1.1016.","plainTextFormattedCitation":"Sularso Sularso et al., “Revitalizing Cultural Heritage: Strategies for Teaching Indonesian Traditional Music in Elementary Schools,” International Journal of Education and Learning, 2023, https://doi.org/10.31763/ijele.v5i1.1016.","previouslyFormattedCitation":"(Sularso et al., 2023)"},"properties":{"noteIndex":7},"schema":"https://github.com/citation-style-language/schema/raw/master/csl-citation.json"}</w:instrText>
      </w:r>
      <w:r w:rsidRPr="002D3DED">
        <w:fldChar w:fldCharType="separate"/>
      </w:r>
      <w:r w:rsidRPr="002D3DED">
        <w:rPr>
          <w:noProof/>
        </w:rPr>
        <w:t xml:space="preserve">Sularso Sularso et al., “Revitalizing Cultural Heritage: Strategies for Teaching Indonesian Traditional Music in Elementary Schools,” </w:t>
      </w:r>
      <w:r w:rsidRPr="002D3DED">
        <w:rPr>
          <w:i/>
          <w:noProof/>
        </w:rPr>
        <w:t>International Journal of Education and Learning</w:t>
      </w:r>
      <w:r w:rsidRPr="002D3DED">
        <w:rPr>
          <w:noProof/>
        </w:rPr>
        <w:t>, 2023, https://doi.org/10.31763/ijele.v5i1.1016.</w:t>
      </w:r>
      <w:r w:rsidRPr="002D3DED">
        <w:fldChar w:fldCharType="end"/>
      </w:r>
    </w:p>
  </w:footnote>
  <w:footnote w:id="8">
    <w:p w14:paraId="3D9FB34E"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approach.","author":[{"dropping-particle":"","family":"Sugiyono","given":"D.","non-dropping-particle":"","parse-names":false,"suffix":""}],"id":"ITEM-1","issued":{"date-parts":[["2019"]]},"number-of-pages":"189-190","title":"Metode Penelitian Kuantitatif, Kualitatif, dan Tindakan","type":"book"},"uris":["http://www.mendeley.com/documents/?uuid=b9ab5b0d-993e-478b-a3ae-6dc379113854","http://www.mendeley.com/documents/?uuid=c503c1a6-3ee5-48b2-afe8-e1e67a199f4e"]}],"mendeley":{"formattedCitation":"D. Sugiyono, &lt;i&gt;Metode Penelitian Kuantitatif, Kualitatif, Dan Tindakan&lt;/i&gt;, 2019.","plainTextFormattedCitation":"D. Sugiyono, Metode Penelitian Kuantitatif, Kualitatif, Dan Tindakan, 2019.","previouslyFormattedCitation":"(Sugiyono, 2019)"},"properties":{"noteIndex":8},"schema":"https://github.com/citation-style-language/schema/raw/master/csl-citation.json"}</w:instrText>
      </w:r>
      <w:r w:rsidRPr="002D3DED">
        <w:fldChar w:fldCharType="separate"/>
      </w:r>
      <w:r w:rsidRPr="002D3DED">
        <w:rPr>
          <w:noProof/>
        </w:rPr>
        <w:t xml:space="preserve">D. Sugiyono, </w:t>
      </w:r>
      <w:r w:rsidRPr="002D3DED">
        <w:rPr>
          <w:i/>
          <w:noProof/>
        </w:rPr>
        <w:t>Metode Penelitian Kuantitatif, Kualitatif, Dan Tindakan</w:t>
      </w:r>
      <w:r w:rsidRPr="002D3DED">
        <w:rPr>
          <w:noProof/>
        </w:rPr>
        <w:t>, 2019.</w:t>
      </w:r>
      <w:r w:rsidRPr="002D3DED">
        <w:fldChar w:fldCharType="end"/>
      </w:r>
    </w:p>
  </w:footnote>
  <w:footnote w:id="9">
    <w:p w14:paraId="32AE8ACF"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approach.","author":[{"dropping-particle":"","family":"Sugiyono","given":"D.","non-dropping-particle":"","parse-names":false,"suffix":""}],"id":"ITEM-1","issued":{"date-parts":[["2019"]]},"number-of-pages":"189-190","title":"Metode Penelitian Kuantitatif, Kualitatif, dan Tindakan","type":"book"},"uris":["http://www.mendeley.com/documents/?uuid=c503c1a6-3ee5-48b2-afe8-e1e67a199f4e","http://www.mendeley.com/documents/?uuid=b9ab5b0d-993e-478b-a3ae-6dc379113854"]}],"mendeley":{"formattedCitation":"Sugiyono.","plainTextFormattedCitation":"Sugiyono.","previouslyFormattedCitation":"(Sugiyono, 2019)"},"properties":{"noteIndex":9},"schema":"https://github.com/citation-style-language/schema/raw/master/csl-citation.json"}</w:instrText>
      </w:r>
      <w:r w:rsidRPr="002D3DED">
        <w:fldChar w:fldCharType="separate"/>
      </w:r>
      <w:r w:rsidRPr="002D3DED">
        <w:rPr>
          <w:noProof/>
        </w:rPr>
        <w:t>Sugiyono.</w:t>
      </w:r>
      <w:r w:rsidRPr="002D3DED">
        <w:fldChar w:fldCharType="end"/>
      </w:r>
    </w:p>
  </w:footnote>
  <w:footnote w:id="10">
    <w:p w14:paraId="55C73B14"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10.30958/aje.7-1-4","author":[{"dropping-particle":"","family":"Budiyanto","given":"-","non-dropping-particle":"","parse-names":false,"suffix":""},{"dropping-particle":"","family":"Sheehy","given":"Kieron","non-dropping-particle":"","parse-names":false,"suffix":""},{"dropping-particle":"","family":"Kaye","given":"Helen","non-dropping-particle":"","parse-names":false,"suffix":""},{"dropping-particle":"","family":"Rofiah","given":"Khofidotur","non-dropping-particle":"","parse-names":false,"suffix":""}],"container-title":"Athens Journal of Education","id":"ITEM-1","issued":{"date-parts":[["2019"]]},"title":"Indonesian Educators’ Knowledge and Beliefs About Teaching Children With Autism","type":"article"},"uris":["http://www.mendeley.com/documents/?uuid=ab2611fc-9364-47d1-b089-2a3d4c4a89b5","http://www.mendeley.com/documents/?uuid=995af909-a6d3-4197-8ba0-2d266fdbc9a4","http://www.mendeley.com/documents/?uuid=d2bb702e-82d4-4bcd-b315-3d2916485ba3"]}],"mendeley":{"formattedCitation":"- Budiyanto et al., “Indonesian Educators’ Knowledge and Beliefs About Teaching Children With Autism,” &lt;i&gt;Athens Journal of Education&lt;/i&gt;, 2019, https://doi.org/10.30958/aje.7-1-4.","plainTextFormattedCitation":"- Budiyanto et al., “Indonesian Educators’ Knowledge and Beliefs About Teaching Children With Autism,” Athens Journal of Education, 2019, https://doi.org/10.30958/aje.7-1-4.","previouslyFormattedCitation":"(Budiyanto et al., 2019)"},"properties":{"noteIndex":10},"schema":"https://github.com/citation-style-language/schema/raw/master/csl-citation.json"}</w:instrText>
      </w:r>
      <w:r w:rsidRPr="002D3DED">
        <w:fldChar w:fldCharType="separate"/>
      </w:r>
      <w:r w:rsidRPr="002D3DED">
        <w:rPr>
          <w:noProof/>
        </w:rPr>
        <w:t xml:space="preserve">- Budiyanto et al., “Indonesian Educators’ Knowledge and Beliefs About Teaching Children With Autism,” </w:t>
      </w:r>
      <w:r w:rsidRPr="002D3DED">
        <w:rPr>
          <w:i/>
          <w:noProof/>
        </w:rPr>
        <w:t>Athens Journal of Education</w:t>
      </w:r>
      <w:r w:rsidRPr="002D3DED">
        <w:rPr>
          <w:noProof/>
        </w:rPr>
        <w:t>, 2019, https://doi.org/10.30958/aje.7-1-4.</w:t>
      </w:r>
      <w:r w:rsidRPr="002D3DED">
        <w:fldChar w:fldCharType="end"/>
      </w:r>
    </w:p>
  </w:footnote>
  <w:footnote w:id="11">
    <w:p w14:paraId="57324256"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{"citationItems":[{"id":"ITEM-1","itemData":{"DOI":"10.12973/eu-jer.12.4.1617","author":[{"dropping-particle":"","family":"Wahyuningsih","given":"Sri Endah","non-dropping-particle":"","parse-names":false,"suffix":""},{"dropping-particle":"","family":"Afandi","given":"Muhamad","non-dropping-particle":"","parse-names":false,"suffix":""},{"dropping-particle":"","family":"Kasriyati","given":"Destina","non-dropping-particle":"","parse-names":false,"suffix":""},{"dropping-particle":"","family":"Khoeroni","given":"Farid","non-dropping-particle":"","parse-names":false,"suffix":""}],"container-title":"European Journal of Educational Research","id":"ITEM-1","issued":{"date-parts":[["2023"]]},"title":"Barriers to Teaching English to Non-Native English-Speaking Teachers in Indonesian Secondary Schools: Policy Recommendations","type":"article"},"uris":["http://www.mendeley.com/documents/?uuid=bbcc1d6f-ac7f-47be-924c-3c42c1c3a16a","http://www.mendeley.com/documents/?uuid=c5285d13-e992-4c2e-8d32-43aabf6623e2","http://www.mendeley.com/documents/?uuid=77ed1d48-f11c-4895-8ea9-519d7f118c38"]}],"mendeley":{"formattedCitation":"Wahyuningsih et al., “Barriers to Teaching English to Non-Native English-Speaking Teachers in Indonesian Secondary Schools: Policy Recommendations.”","plainTextFormattedCitation":"Wahyuningsih et al., “Barriers to Teaching English to Non-Native English-Speaking Teachers in Indonesian Secondary Schools: Policy Recommendations.”","previouslyFormattedCitation":"(Wahyuningsih et al., 2023)"},"properties":{"noteIndex":11},"schema":"https://github.com/citation-style-language/schema/raw/master/csl-citation.json"}</w:instrText>
      </w:r>
      <w:r w:rsidRPr="002D3DED">
        <w:fldChar w:fldCharType="separate"/>
      </w:r>
      <w:r w:rsidRPr="002D3DED">
        <w:rPr>
          <w:noProof/>
        </w:rPr>
        <w:t>Wahyuningsih et al., “Barriers to Teaching English to Non-Native English-Speaking Teachers in Indonesian Secondary Schools: Policy Recommendations.”</w:t>
      </w:r>
      <w:r w:rsidRPr="002D3DED">
        <w:fldChar w:fldCharType="end"/>
      </w:r>
    </w:p>
  </w:footnote>
  <w:footnote w:id="12">
    <w:p w14:paraId="3E27AF70"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{"citationItems":[{"id":"ITEM-1","itemData":{"DOI":"10.17507/jltr.0803.14","author":[{"dropping-particle":"","family":"Tursini","given":"Umi","non-dropping-particle":"","parse-names":false,"suffix":""}],"container-title":"Journal of Language Teaching and Research","id":"ITEM-1","issued":{"date-parts":[["2017"]]},"title":"Exploring Changes in Teachers’ Instructional Practice Through Self-Evaluation as a Meditational Activity: A Case Study","type":"article"},"uris":["http://www.mendeley.com/documents/?uuid=ae57f046-1829-4394-a0cd-37274f730888","http://www.mendeley.com/documents/?uuid=e5f03e6c-8915-481f-8aef-4a9d6e16445a","http://www.mendeley.com/documents/?uuid=46fceb90-0477-4792-9cf8-120749724f9c"]}],"mendeley":{"formattedCitation":"Tursini, “Exploring Changes in Teachers’ Instructional Practice Through Self-Evaluation as a Meditational Activity: A Case Study.”","plainTextFormattedCitation":"Tursini, “Exploring Changes in Teachers’ Instructional Practice Through Self-Evaluation as a Meditational Activity: A Case Study.”","previouslyFormattedCitation":"(Tursini, 2017)"},"properties":{"noteIndex":12},"schema":"https://github.com/citation-style-language/schema/raw/master/csl-citation.json"}</w:instrText>
      </w:r>
      <w:r w:rsidRPr="002D3DED">
        <w:fldChar w:fldCharType="separate"/>
      </w:r>
      <w:r w:rsidRPr="002D3DED">
        <w:rPr>
          <w:noProof/>
        </w:rPr>
        <w:t>Tursini, “Exploring Changes in Teachers’ Instructional Practice Through Self-Evaluation as a Meditational Activity: A Case Study.”</w:t>
      </w:r>
      <w:r w:rsidRPr="002D3DED">
        <w:fldChar w:fldCharType="end"/>
      </w:r>
    </w:p>
  </w:footnote>
  <w:footnote w:id="13">
    <w:p w14:paraId="13823F7F" w14:textId="77777777" w:rsidR="00E3378B" w:rsidRPr="002D3DED" w:rsidRDefault="00E3378B" w:rsidP="00E3378B">
      <w:pPr>
        <w:pStyle w:val="FootnoteText"/>
        <w:ind w:firstLine="426"/>
      </w:pPr>
      <w:r w:rsidRPr="002D3DED">
        <w:rPr>
          <w:rStyle w:val="FootnoteReference"/>
        </w:rPr>
        <w:footnoteRef/>
      </w:r>
      <w:r w:rsidRPr="002D3DED">
        <w:t xml:space="preserve"> </w:t>
      </w:r>
      <w:r w:rsidRPr="002D3DED">
        <w:fldChar w:fldCharType="begin" w:fldLock="1"/>
      </w:r>
      <w:r w:rsidRPr="002D3DED">
        <w:instrText>ADDIN CSL_CITATION {"citationItems":[{"id":"ITEM-1","itemData":{"DOI":"10.30958/aje.7-1-4","author":[{"dropping-particle":"","family":"Budiyanto","given":"-","non-dropping-particle":"","parse-names":false,"suffix":""},{"dropping-particle":"","family":"Sheehy","given":"Kieron","non-dropping-particle":"","parse-names":false,"suffix":""},{"dropping-particle":"","family":"Kaye","given":"Helen","non-dropping-particle":"","parse-names":false,"suffix":""},{"dropping-particle":"","family":"Rofiah","given":"Khofidotur","non-dropping-particle":"","parse-names":false,"suffix":""}],"container-title":"Athens Journal of Education","id":"ITEM-1","issued":{"date-parts":[["2019"]]},"title":"Indonesian Educators’ Knowledge and Beliefs About Teaching Children With Autism","type":"article"},"uris":["http://www.mendeley.com/documents/?uuid=d2bb702e-82d4-4bcd-b315-3d2916485ba3","http://www.mendeley.com/documents/?uuid=995af909-a6d3-4197-8ba0-2d266fdbc9a4","http://www.mendeley.com/documents/?uuid=ab2611fc-9364-47d1-b089-2a3d4c4a89b5"]}],"mendeley":{"formattedCitation":"Budiyanto et al., “Indonesian Educators’ Knowledge and Beliefs About Teaching Children With Autism.”","plainTextFormattedCitation":"Budiyanto et al., “Indonesian Educators’ Knowledge and Beliefs About Teaching Children With Autism.”","previouslyFormattedCitation":"(Budiyanto et al., 2019)"},"properties":{"noteIndex":13},"schema":"https://github.com/citation-style-language/schema/raw/master/csl-citation.json"}</w:instrText>
      </w:r>
      <w:r w:rsidRPr="002D3DED">
        <w:fldChar w:fldCharType="separate"/>
      </w:r>
      <w:r w:rsidRPr="002D3DED">
        <w:rPr>
          <w:noProof/>
        </w:rPr>
        <w:t>Budiyanto et al., “Indonesian Educators’ Knowledge and Beliefs About Teaching Children With Autism.”</w:t>
      </w:r>
      <w:r w:rsidRPr="002D3DED">
        <w:fldChar w:fldCharType="end"/>
      </w:r>
    </w:p>
  </w:footnote>
  <w:footnote w:id="14">
    <w:p w14:paraId="06CA9C85" w14:textId="77777777" w:rsidR="00E3378B" w:rsidRPr="002D3DED" w:rsidRDefault="00E3378B" w:rsidP="00E3378B">
      <w:pPr>
        <w:pStyle w:val="FootnoteText"/>
        <w:ind w:firstLine="284"/>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{"citationItems":[{"id":"ITEM-1","itemData":{"DOI":"10.17507/jltr.0803.14","author":[{"dropping-particle":"","family":"Tursini","given":"Umi","non-dropping-particle":"","parse-names":false,"suffix":""}],"container-title":"Journal of Language Teaching and Research","id":"ITEM-1","issued":{"date-parts":[["2017"]]},"title":"Exploring Changes in Teachers’ Instructional Practice Through Self-Evaluation as a Meditational Activity: A Case Study","type":"article"},"uris":["http://www.mendeley.com/documents/?uuid=ae57f046-1829-4394-a0cd-37274f730888","http://www.mendeley.com/documents/?uuid=e5f03e6c-8915-481f-8aef-4a9d6e16445a","http://www.mendeley.com/documents/?uuid=46fceb90-0477-4792-9cf8-120749724f9c"]}],"mendeley":{"formattedCitation":"Tursini, “Exploring Changes in Teachers’ Instructional Practice Through Self-Evaluation as a Meditational Activity: A Case Study.”","plainTextFormattedCitation":"Tursini, “Exploring Changes in Teachers’ Instructional Practice Through Self-Evaluation as a Meditational Activity: A Case Study.”","previouslyFormattedCitation":"(Tursini, 2017)"},"properties":{"noteIndex":14},"schema":"https://github.com/citation-style-language/schema/raw/master/csl-citation.json"}</w:instrText>
      </w:r>
      <w:r w:rsidRPr="002D3DED">
        <w:fldChar w:fldCharType="separate"/>
      </w:r>
      <w:r w:rsidRPr="002D3DED">
        <w:rPr>
          <w:noProof/>
        </w:rPr>
        <w:t>Tursini, “Exploring Changes in Teachers’ Instructional Practice Through Self-Evaluation as a Meditational Activity: A Case Study.”</w:t>
      </w:r>
      <w:r w:rsidRPr="002D3DED">
        <w:fldChar w:fldCharType="end"/>
      </w:r>
    </w:p>
  </w:footnote>
  <w:footnote w:id="15">
    <w:p w14:paraId="25E34254" w14:textId="77777777" w:rsidR="00E3378B" w:rsidRPr="002D3DED" w:rsidRDefault="00E3378B" w:rsidP="00E3378B">
      <w:pPr>
        <w:pStyle w:val="FootnoteText"/>
        <w:ind w:firstLine="284"/>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10.26855/er.2019.02.001","author":[{"dropping-particle":"","family":"Asrial","given":"Asrial","non-dropping-particle":"","parse-names":false,"suffix":""},{"dropping-particle":"","family":"Syahrial","given":"Syahrial","non-dropping-particle":"","parse-names":false,"suffix":""},{"dropping-particle":"","family":"Kurniawan","given":"Dwi Agus","non-dropping-particle":"","parse-names":false,"suffix":""},{"dropping-particle":"","family":"Amalina","given":"Nur","non-dropping-particle":"","parse-names":false,"suffix":""},{"dropping-particle":"","family":"Subandiyo","given":"May","non-dropping-particle":"","parse-names":false,"suffix":""}],"container-title":"The Educational Review Usa","id":"ITEM-1","issued":{"date-parts":[["2019"]]},"title":"Description of Elementary Teacher Education Program’s Student: Mapping Indonesian Language Competence for Prospective Teacher","type":"article"},"uris":["http://www.mendeley.com/documents/?uuid=74b83f6f-1094-4c65-a294-8fc1664f1adb","http://www.mendeley.com/documents/?uuid=df01554e-7403-47a5-97d6-8a14cd1792d8","http://www.mendeley.com/documents/?uuid=26eacb4b-0974-4fe5-9adc-5ceaed7df233"]}],"mendeley":{"formattedCitation":"Asrial Asrial et al., “Description of Elementary Teacher Education Program’s Student: Mapping Indonesian Language Competence for Prospective Teacher,” &lt;i&gt;The Educational Review Usa&lt;/i&gt;, 2019, https://doi.org/10.26855/er.2019.02.001.","plainTextFormattedCitation":"Asrial Asrial et al., “Description of Elementary Teacher Education Program’s Student: Mapping Indonesian Language Competence for Prospective Teacher,” The Educational Review Usa, 2019, https://doi.org/10.26855/er.2019.02.001.","previouslyFormattedCitation":"(Asrial et al., 2019)"},"properties":{"noteIndex":15},"schema":"https://github.com/citation-style-language/schema/raw/master/csl-citation.json"}</w:instrText>
      </w:r>
      <w:r w:rsidRPr="002D3DED">
        <w:fldChar w:fldCharType="separate"/>
      </w:r>
      <w:r w:rsidRPr="002D3DED">
        <w:rPr>
          <w:noProof/>
        </w:rPr>
        <w:t xml:space="preserve">Asrial Asrial et al., “Description of Elementary Teacher Education Program’s Student: Mapping Indonesian Language Competence for Prospective Teacher,” </w:t>
      </w:r>
      <w:r w:rsidRPr="002D3DED">
        <w:rPr>
          <w:i/>
          <w:noProof/>
        </w:rPr>
        <w:t>The Educational Review Usa</w:t>
      </w:r>
      <w:r w:rsidRPr="002D3DED">
        <w:rPr>
          <w:noProof/>
        </w:rPr>
        <w:t>, 2019, https://doi.org/10.26855/er.2019.02.001.</w:t>
      </w:r>
      <w:r w:rsidRPr="002D3DED">
        <w:fldChar w:fldCharType="end"/>
      </w:r>
    </w:p>
  </w:footnote>
  <w:footnote w:id="16">
    <w:p w14:paraId="1A746A35"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10.46843/jiecr.v4i1.531","author":[{"dropping-particle":"","family":"Siruwa","given":"W.","non-dropping-particle":"","parse-names":false,"suffix":""},{"dropping-particle":"","family":"Hamid","given":"A.","non-dropping-particle":"","parse-names":false,"suffix":""},{"dropping-particle":"","family":"Lukman","given":"H. B","non-dropping-particle":"","parse-names":false,"suffix":""}],"container-title":"Journal of Innovation in Educational and Cultural Research","id":"ITEM-1","issued":{"date-parts":[["2023"]]},"title":"The importance of social competence training model development to improve the performance of elementary school teacher working group","type":"article"},"uris":["http://www.mendeley.com/documents/?uuid=dffa1952-86c1-41ca-82a2-58578e683c39","http://www.mendeley.com/documents/?uuid=159cdc6f-387d-495a-a856-607ca390548a","http://www.mendeley.com/documents/?uuid=7462cafb-1802-45f8-91bb-4c3e5f7640ca"]}],"mendeley":{"formattedCitation":"W. Siruwa, A. Hamid, and H. B Lukman, “The Importance of Social Competence Training Model Development to Improve the Performance of Elementary School Teacher Working Group,” &lt;i&gt;Journal of Innovation in Educational and Cultural Research&lt;/i&gt;, 2023, https://doi.org/10.46843/jiecr.v4i1.531.","plainTextFormattedCitation":"W. Siruwa, A. Hamid, and H. B Lukman, “The Importance of Social Competence Training Model Development to Improve the Performance of Elementary School Teacher Working Group,” Journal of Innovation in Educational and Cultural Research, 2023, https://doi.org/10.46843/jiecr.v4i1.531.","previouslyFormattedCitation":"(Siruwa et al., 2023)"},"properties":{"noteIndex":16},"schema":"https://github.com/citation-style-language/schema/raw/master/csl-citation.json"}</w:instrText>
      </w:r>
      <w:r w:rsidRPr="002D3DED">
        <w:fldChar w:fldCharType="separate"/>
      </w:r>
      <w:r w:rsidRPr="002D3DED">
        <w:rPr>
          <w:noProof/>
        </w:rPr>
        <w:t xml:space="preserve">W. Siruwa, A. Hamid, and H. B Lukman, “The Importance of Social Competence Training Model Development to Improve the Performance of Elementary School Teacher Working Group,” </w:t>
      </w:r>
      <w:r w:rsidRPr="002D3DED">
        <w:rPr>
          <w:i/>
          <w:noProof/>
        </w:rPr>
        <w:t>Journal of Innovation in Educational and Cultural Research</w:t>
      </w:r>
      <w:r w:rsidRPr="002D3DED">
        <w:rPr>
          <w:noProof/>
        </w:rPr>
        <w:t>, 2023, https://doi.org/10.46843/jiecr.v4i1.531.</w:t>
      </w:r>
      <w:r w:rsidRPr="002D3DED">
        <w:fldChar w:fldCharType="end"/>
      </w:r>
    </w:p>
  </w:footnote>
  <w:footnote w:id="17">
    <w:p w14:paraId="7F1B36FC"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10.21462/ijefl.v7i1.470","author":[{"dropping-particle":"","family":"Suherman","given":"Andri","non-dropping-particle":"","parse-names":false,"suffix":""},{"dropping-particle":"","family":"Wathoni","given":"Hamzani","non-dropping-particle":"","parse-names":false,"suffix":""}],"container-title":"Indonesian Journal of Efl and Linguistics","id":"ITEM-1","issued":{"date-parts":[["2022"]]},"title":"Examining Teachers’ Perceptions of E-Learning Tools: A Survey From Indonesian EAP Classrooms","type":"article"},"uris":["http://www.mendeley.com/documents/?uuid=9d4e5dd0-7c28-4b84-a242-917a20476489","http://www.mendeley.com/documents/?uuid=90b74b02-b281-4611-8316-77b252314bc5","http://www.mendeley.com/documents/?uuid=0a48f2cc-0ca4-4944-a370-0cb2d2addd6f"]}],"mendeley":{"formattedCitation":"Suherman and Wathoni, “Examining Teachers’ Perceptions of E-Learning Tools: A Survey From Indonesian EAP Classrooms.”","plainTextFormattedCitation":"Suherman and Wathoni, “Examining Teachers’ Perceptions of E-Learning Tools: A Survey From Indonesian EAP Classrooms.”","previouslyFormattedCitation":"(Suherman &amp; Wathoni, 2022)"},"properties":{"noteIndex":17},"schema":"https://github.com/citation-style-language/schema/raw/master/csl-citation.json"}</w:instrText>
      </w:r>
      <w:r w:rsidRPr="002D3DED">
        <w:fldChar w:fldCharType="separate"/>
      </w:r>
      <w:r w:rsidRPr="002D3DED">
        <w:rPr>
          <w:noProof/>
        </w:rPr>
        <w:t>Suherman and Wathoni, “Examining Teachers’ Perceptions of E-Learning Tools: A Survey From Indonesian EAP Classrooms.”</w:t>
      </w:r>
      <w:r w:rsidRPr="002D3DED">
        <w:fldChar w:fldCharType="end"/>
      </w:r>
    </w:p>
  </w:footnote>
  <w:footnote w:id="18">
    <w:p w14:paraId="5219698A"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{"citationItems":[{"id":"ITEM-1","itemData":{"DOI":"10.5195/ehe.2011.27","author":[{"dropping-particle":"","family":"Sunardi","given":"Sunardi","non-dropping-particle":"","parse-names":false,"suffix":""},{"dropping-particle":"","family":"Yusuf","given":"M Maulana","non-dropping-particle":"","parse-names":false,"suffix":""},{"dropping-particle":"","family":"Gunarhadi","given":"","non-dropping-particle":"","parse-names":false,"suffix":""},{"dropping-particle":"","family":"Priyono","given":"Priyono","non-dropping-particle":"","parse-names":false,"suffix":""},{"dropping-particle":"","family":"Yeager","given":"John L","non-dropping-particle":"","parse-names":false,"suffix":""}],"container-title":"Excellence in Higher Education","id":"ITEM-1","issued":{"date-parts":[["2011"]]},"title":"The Implementation of Inclusive Education for Students With Special Needs in Indonesia","type":"article"},"uris":["http://www.mendeley.com/documents/?uuid=cccc108c-1f77-438f-9b47-e0c88e6386e9","http://www.mendeley.com/documents/?uuid=1f26fe89-eed3-4dd6-beea-30011f0df933","http://www.mendeley.com/documents/?uuid=308f8bb0-7ad6-4a7d-a393-531d086904be"]}],"mendeley":{"formattedCitation":"Sunardi et al., “The Implementation of Inclusive Education for Students With Special Needs in Indonesia.”","plainTextFormattedCitation":"Sunardi et al., “The Implementation of Inclusive Education for Students With Special Needs in Indonesia.”","previouslyFormattedCitation":"(Sunardi et al., 2011)"},"properties":{"noteIndex":18},"schema":"https://github.com/citation-style-language/schema/raw/master/csl-citation.json"}</w:instrText>
      </w:r>
      <w:r w:rsidRPr="002D3DED">
        <w:fldChar w:fldCharType="separate"/>
      </w:r>
      <w:r w:rsidRPr="002D3DED">
        <w:rPr>
          <w:noProof/>
        </w:rPr>
        <w:t>Sunardi et al., “The Implementation of Inclusive Education for Students With Special Needs in Indonesia.”</w:t>
      </w:r>
      <w:r w:rsidRPr="002D3DED">
        <w:fldChar w:fldCharType="end"/>
      </w:r>
    </w:p>
  </w:footnote>
  <w:footnote w:id="19">
    <w:p w14:paraId="33F2C70C" w14:textId="77777777" w:rsidR="00E3378B" w:rsidRPr="002D3DED" w:rsidRDefault="00E3378B" w:rsidP="00E3378B">
      <w:pPr>
        <w:pStyle w:val="FootnoteText"/>
        <w:ind w:firstLine="426"/>
        <w:jc w:val="both"/>
      </w:pPr>
      <w:r w:rsidRPr="002D3DED">
        <w:rPr>
          <w:rStyle w:val="FootnoteReference"/>
        </w:rPr>
        <w:footnoteRef/>
      </w:r>
      <w:r w:rsidRPr="002D3DED">
        <w:t xml:space="preserve"> </w:t>
      </w:r>
      <w:r w:rsidRPr="002D3DED">
        <w:fldChar w:fldCharType="begin" w:fldLock="1"/>
      </w:r>
      <w:r w:rsidRPr="002D3DED">
        <w:instrText>ADDIN CSL_CITATION {"citationItems":[{"id":"ITEM-1","itemData":{"DOI":"10.52208/klasikal.v5i1.628","author":[{"dropping-particle":"","family":"Baa","given":"Sultan","non-dropping-particle":"","parse-names":false,"suffix":""}],"container-title":"Klasikal Journal of Education Language Teaching and Science","id":"ITEM-1","issued":{"date-parts":[["2023"]]},"title":"What Considerations Should the Schools or Teachers Take Into Account When Implementing English-Indonesian Bilingual Program in Their Schools?","type":"article"},"uris":["http://www.mendeley.com/documents/?uuid=955b91e6-18a1-413f-8d7e-ac4ea68aca18","http://www.mendeley.com/documents/?uuid=6858dcf6-8f2e-4c54-aed2-8bb431083c08","http://www.mendeley.com/documents/?uuid=897850ff-6d6e-4bf6-a66a-e223f706faa1"]}],"mendeley":{"formattedCitation":"Sultan Baa, “What Considerations Should the Schools or Teachers Take Into Account When Implementing English-Indonesian Bilingual Program in Their Schools?,” &lt;i&gt;Klasikal Journal of Education Language Teaching and Science&lt;/i&gt;, 2023, https://doi.org/10.52208/klasikal.v5i1.628.","plainTextFormattedCitation":"Sultan Baa, “What Considerations Should the Schools or Teachers Take Into Account When Implementing English-Indonesian Bilingual Program in Their Schools?,” Klasikal Journal of Education Language Teaching and Science, 2023, https://doi.org/10.52208/klasikal.v5i1.628.","previouslyFormattedCitation":"(Baa, 2023)"},"properties":{"noteIndex":19},"schema":"https://github.com/citation-style-language/schema/raw/master/csl-citation.json"}</w:instrText>
      </w:r>
      <w:r w:rsidRPr="002D3DED">
        <w:fldChar w:fldCharType="separate"/>
      </w:r>
      <w:r w:rsidRPr="002D3DED">
        <w:rPr>
          <w:noProof/>
        </w:rPr>
        <w:t xml:space="preserve">Sultan Baa, “What Considerations Should the Schools or Teachers Take Into Account When Implementing English-Indonesian Bilingual Program in Their Schools?,” </w:t>
      </w:r>
      <w:r w:rsidRPr="002D3DED">
        <w:rPr>
          <w:i/>
          <w:noProof/>
        </w:rPr>
        <w:t>Klasikal Journal of Education Language Teaching and Science</w:t>
      </w:r>
      <w:r w:rsidRPr="002D3DED">
        <w:rPr>
          <w:noProof/>
        </w:rPr>
        <w:t>, 2023, https://doi.org/10.52208/klasikal.v5i1.628.</w:t>
      </w:r>
      <w:r w:rsidRPr="002D3DED">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497E3" w14:textId="77777777" w:rsidR="0078495C" w:rsidRDefault="00A12A6F">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i/>
        <w:color w:val="000000"/>
        <w:sz w:val="20"/>
      </w:rPr>
    </w:pPr>
    <w:r>
      <w:rPr>
        <w:rFonts w:ascii="Palatino Linotype" w:eastAsia="Palatino Linotype" w:hAnsi="Palatino Linotype" w:cs="Palatino Linotype"/>
        <w:i/>
        <w:color w:val="000000"/>
        <w:sz w:val="20"/>
      </w:rPr>
      <w:t xml:space="preserve">Al </w:t>
    </w:r>
    <w:proofErr w:type="spellStart"/>
    <w:r>
      <w:rPr>
        <w:rFonts w:ascii="Palatino Linotype" w:eastAsia="Palatino Linotype" w:hAnsi="Palatino Linotype" w:cs="Palatino Linotype"/>
        <w:i/>
        <w:color w:val="000000"/>
        <w:sz w:val="20"/>
      </w:rPr>
      <w:t>Mikraj</w:t>
    </w:r>
    <w:proofErr w:type="spellEnd"/>
    <w:r>
      <w:rPr>
        <w:rFonts w:ascii="Palatino Linotype" w:eastAsia="Palatino Linotype" w:hAnsi="Palatino Linotype" w:cs="Palatino Linotype"/>
        <w:i/>
        <w:color w:val="000000"/>
        <w:sz w:val="20"/>
      </w:rPr>
      <w:t xml:space="preserve"> – </w:t>
    </w:r>
    <w:proofErr w:type="spellStart"/>
    <w:r>
      <w:rPr>
        <w:rFonts w:ascii="Palatino Linotype" w:eastAsia="Palatino Linotype" w:hAnsi="Palatino Linotype" w:cs="Palatino Linotype"/>
        <w:i/>
        <w:color w:val="000000"/>
        <w:sz w:val="20"/>
      </w:rPr>
      <w:t>Jurnal</w:t>
    </w:r>
    <w:proofErr w:type="spellEnd"/>
    <w:r>
      <w:rPr>
        <w:rFonts w:ascii="Palatino Linotype" w:eastAsia="Palatino Linotype" w:hAnsi="Palatino Linotype" w:cs="Palatino Linotype"/>
        <w:i/>
        <w:color w:val="000000"/>
        <w:sz w:val="20"/>
      </w:rPr>
      <w:t xml:space="preserve"> </w:t>
    </w:r>
    <w:proofErr w:type="spellStart"/>
    <w:r>
      <w:rPr>
        <w:rFonts w:ascii="Palatino Linotype" w:eastAsia="Palatino Linotype" w:hAnsi="Palatino Linotype" w:cs="Palatino Linotype"/>
        <w:i/>
        <w:color w:val="000000"/>
        <w:sz w:val="20"/>
      </w:rPr>
      <w:t>Studi</w:t>
    </w:r>
    <w:proofErr w:type="spellEnd"/>
    <w:r>
      <w:rPr>
        <w:rFonts w:ascii="Palatino Linotype" w:eastAsia="Palatino Linotype" w:hAnsi="Palatino Linotype" w:cs="Palatino Linotype"/>
        <w:i/>
        <w:color w:val="000000"/>
        <w:sz w:val="20"/>
      </w:rPr>
      <w:t xml:space="preserve"> Islam </w:t>
    </w:r>
    <w:proofErr w:type="spellStart"/>
    <w:r>
      <w:rPr>
        <w:rFonts w:ascii="Palatino Linotype" w:eastAsia="Palatino Linotype" w:hAnsi="Palatino Linotype" w:cs="Palatino Linotype"/>
        <w:i/>
        <w:color w:val="000000"/>
        <w:sz w:val="20"/>
      </w:rPr>
      <w:t>dan</w:t>
    </w:r>
    <w:proofErr w:type="spellEnd"/>
    <w:r>
      <w:rPr>
        <w:rFonts w:ascii="Palatino Linotype" w:eastAsia="Palatino Linotype" w:hAnsi="Palatino Linotype" w:cs="Palatino Linotype"/>
        <w:i/>
        <w:color w:val="000000"/>
        <w:sz w:val="20"/>
      </w:rPr>
      <w:t xml:space="preserve"> </w:t>
    </w:r>
    <w:proofErr w:type="spellStart"/>
    <w:r>
      <w:rPr>
        <w:rFonts w:ascii="Palatino Linotype" w:eastAsia="Palatino Linotype" w:hAnsi="Palatino Linotype" w:cs="Palatino Linotype"/>
        <w:i/>
        <w:color w:val="000000"/>
        <w:sz w:val="20"/>
      </w:rPr>
      <w:t>Humaniora</w:t>
    </w:r>
    <w:proofErr w:type="spellEnd"/>
    <w:r>
      <w:rPr>
        <w:noProof/>
        <w:lang w:val="id-ID" w:eastAsia="id-ID"/>
      </w:rPr>
      <mc:AlternateContent>
        <mc:Choice Requires="wps">
          <w:drawing>
            <wp:anchor distT="0" distB="0" distL="114300" distR="114300" simplePos="0" relativeHeight="251659264" behindDoc="0" locked="0" layoutInCell="1" hidden="0" allowOverlap="1" wp14:anchorId="401630A9" wp14:editId="2E558987">
              <wp:simplePos x="0" y="0"/>
              <wp:positionH relativeFrom="column">
                <wp:posOffset>1</wp:posOffset>
              </wp:positionH>
              <wp:positionV relativeFrom="paragraph">
                <wp:posOffset>203200</wp:posOffset>
              </wp:positionV>
              <wp:extent cx="0" cy="12700"/>
              <wp:effectExtent l="0" t="0" r="0" b="0"/>
              <wp:wrapNone/>
              <wp:docPr id="136" name="Straight Arrow Connector 136"/>
              <wp:cNvGraphicFramePr/>
              <a:graphic xmlns:a="http://schemas.openxmlformats.org/drawingml/2006/main">
                <a:graphicData uri="http://schemas.microsoft.com/office/word/2010/wordprocessingShape">
                  <wps:wsp>
                    <wps:cNvCnPr/>
                    <wps:spPr>
                      <a:xfrm>
                        <a:off x="2282125" y="3780000"/>
                        <a:ext cx="61277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oel="http://schemas.microsoft.com/office/2019/extlst"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0" cy="12700"/>
              <wp:effectExtent b="0" l="0" r="0" t="0"/>
              <wp:wrapNone/>
              <wp:docPr id="136"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4873B449" w14:textId="77777777" w:rsidR="0078495C" w:rsidRDefault="0078495C">
    <w:pPr>
      <w:widowControl/>
      <w:pBdr>
        <w:top w:val="nil"/>
        <w:left w:val="nil"/>
        <w:bottom w:val="nil"/>
        <w:right w:val="nil"/>
        <w:between w:val="nil"/>
      </w:pBdr>
      <w:tabs>
        <w:tab w:val="center" w:pos="4706"/>
        <w:tab w:val="right" w:pos="9356"/>
      </w:tabs>
      <w:spacing w:after="80" w:line="230" w:lineRule="auto"/>
      <w:rPr>
        <w:color w:val="000000"/>
        <w:sz w:val="14"/>
        <w:szCs w:val="14"/>
      </w:rPr>
    </w:pPr>
  </w:p>
  <w:p w14:paraId="19D81FAD" w14:textId="77777777" w:rsidR="0078495C" w:rsidRDefault="0078495C"/>
  <w:p w14:paraId="1343EA72" w14:textId="77777777" w:rsidR="0078495C" w:rsidRDefault="0078495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49BA8" w14:textId="6B8B7109" w:rsidR="0078495C" w:rsidRDefault="00865A94" w:rsidP="00865A94">
    <w:pPr>
      <w:widowControl/>
      <w:pBdr>
        <w:top w:val="nil"/>
        <w:left w:val="nil"/>
        <w:bottom w:val="nil"/>
        <w:right w:val="nil"/>
        <w:between w:val="nil"/>
      </w:pBdr>
      <w:tabs>
        <w:tab w:val="center" w:pos="4706"/>
        <w:tab w:val="right" w:pos="9356"/>
      </w:tabs>
      <w:spacing w:after="80" w:line="230" w:lineRule="auto"/>
      <w:jc w:val="right"/>
      <w:rPr>
        <w:rFonts w:ascii="Palatino Linotype" w:eastAsia="Palatino Linotype" w:hAnsi="Palatino Linotype" w:cs="Palatino Linotype"/>
        <w:color w:val="000000"/>
        <w:sz w:val="20"/>
      </w:rPr>
    </w:pPr>
    <w:proofErr w:type="spellStart"/>
    <w:r w:rsidRPr="00865A94">
      <w:rPr>
        <w:rFonts w:ascii="Palatino Linotype" w:eastAsia="Palatino Linotype" w:hAnsi="Palatino Linotype" w:cs="Palatino Linotype"/>
        <w:color w:val="000000"/>
        <w:sz w:val="20"/>
      </w:rPr>
      <w:t>Relevansi</w:t>
    </w:r>
    <w:proofErr w:type="spellEnd"/>
    <w:r w:rsidRPr="00865A94">
      <w:rPr>
        <w:rFonts w:ascii="Palatino Linotype" w:eastAsia="Palatino Linotype" w:hAnsi="Palatino Linotype" w:cs="Palatino Linotype"/>
        <w:color w:val="000000"/>
        <w:sz w:val="20"/>
      </w:rPr>
      <w:t xml:space="preserve"> </w:t>
    </w:r>
    <w:proofErr w:type="spellStart"/>
    <w:r w:rsidRPr="00865A94">
      <w:rPr>
        <w:rFonts w:ascii="Palatino Linotype" w:eastAsia="Palatino Linotype" w:hAnsi="Palatino Linotype" w:cs="Palatino Linotype"/>
        <w:color w:val="000000"/>
        <w:sz w:val="20"/>
      </w:rPr>
      <w:t>Tujuan</w:t>
    </w:r>
    <w:proofErr w:type="spellEnd"/>
    <w:r w:rsidRPr="00865A94">
      <w:rPr>
        <w:rFonts w:ascii="Palatino Linotype" w:eastAsia="Palatino Linotype" w:hAnsi="Palatino Linotype" w:cs="Palatino Linotype"/>
        <w:color w:val="000000"/>
        <w:sz w:val="20"/>
      </w:rPr>
      <w:t xml:space="preserve"> Dan </w:t>
    </w:r>
    <w:proofErr w:type="spellStart"/>
    <w:r w:rsidRPr="00865A94">
      <w:rPr>
        <w:rFonts w:ascii="Palatino Linotype" w:eastAsia="Palatino Linotype" w:hAnsi="Palatino Linotype" w:cs="Palatino Linotype"/>
        <w:color w:val="000000"/>
        <w:sz w:val="20"/>
      </w:rPr>
      <w:t>Materi</w:t>
    </w:r>
    <w:proofErr w:type="spellEnd"/>
    <w:r w:rsidRPr="00865A94">
      <w:rPr>
        <w:rFonts w:ascii="Palatino Linotype" w:eastAsia="Palatino Linotype" w:hAnsi="Palatino Linotype" w:cs="Palatino Linotype"/>
        <w:color w:val="000000"/>
        <w:sz w:val="20"/>
      </w:rPr>
      <w:t xml:space="preserve"> </w:t>
    </w:r>
    <w:proofErr w:type="spellStart"/>
    <w:r w:rsidRPr="00865A94">
      <w:rPr>
        <w:rFonts w:ascii="Palatino Linotype" w:eastAsia="Palatino Linotype" w:hAnsi="Palatino Linotype" w:cs="Palatino Linotype"/>
        <w:color w:val="000000"/>
        <w:sz w:val="20"/>
      </w:rPr>
      <w:t>Dalam</w:t>
    </w:r>
    <w:proofErr w:type="spellEnd"/>
    <w:r w:rsidRPr="00865A94">
      <w:rPr>
        <w:rFonts w:ascii="Palatino Linotype" w:eastAsia="Palatino Linotype" w:hAnsi="Palatino Linotype" w:cs="Palatino Linotype"/>
        <w:color w:val="000000"/>
        <w:sz w:val="20"/>
      </w:rPr>
      <w:t xml:space="preserve"> </w:t>
    </w:r>
    <w:proofErr w:type="spellStart"/>
    <w:r w:rsidRPr="00865A94">
      <w:rPr>
        <w:rFonts w:ascii="Palatino Linotype" w:eastAsia="Palatino Linotype" w:hAnsi="Palatino Linotype" w:cs="Palatino Linotype"/>
        <w:color w:val="000000"/>
        <w:sz w:val="20"/>
      </w:rPr>
      <w:t>Diklat</w:t>
    </w:r>
    <w:proofErr w:type="spellEnd"/>
    <w:r w:rsidRPr="00865A94">
      <w:rPr>
        <w:rFonts w:ascii="Palatino Linotype" w:eastAsia="Palatino Linotype" w:hAnsi="Palatino Linotype" w:cs="Palatino Linotype"/>
        <w:color w:val="000000"/>
        <w:sz w:val="20"/>
      </w:rPr>
      <w:t xml:space="preserve"> Guru Di SMP </w:t>
    </w:r>
    <w:proofErr w:type="spellStart"/>
    <w:r w:rsidRPr="00865A94">
      <w:rPr>
        <w:rFonts w:ascii="Palatino Linotype" w:eastAsia="Palatino Linotype" w:hAnsi="Palatino Linotype" w:cs="Palatino Linotype"/>
        <w:color w:val="000000"/>
        <w:sz w:val="20"/>
      </w:rPr>
      <w:t>Negeri</w:t>
    </w:r>
    <w:proofErr w:type="spellEnd"/>
    <w:r w:rsidRPr="00865A94">
      <w:rPr>
        <w:rFonts w:ascii="Palatino Linotype" w:eastAsia="Palatino Linotype" w:hAnsi="Palatino Linotype" w:cs="Palatino Linotype"/>
        <w:color w:val="000000"/>
        <w:sz w:val="20"/>
      </w:rPr>
      <w:t xml:space="preserve"> 2 </w:t>
    </w:r>
    <w:proofErr w:type="spellStart"/>
    <w:r w:rsidRPr="00865A94">
      <w:rPr>
        <w:rFonts w:ascii="Palatino Linotype" w:eastAsia="Palatino Linotype" w:hAnsi="Palatino Linotype" w:cs="Palatino Linotype"/>
        <w:color w:val="000000"/>
        <w:sz w:val="20"/>
      </w:rPr>
      <w:t>Batu</w:t>
    </w:r>
    <w:proofErr w:type="spellEnd"/>
    <w:r w:rsidRPr="00865A94">
      <w:rPr>
        <w:rFonts w:ascii="Palatino Linotype" w:eastAsia="Palatino Linotype" w:hAnsi="Palatino Linotype" w:cs="Palatino Linotype"/>
        <w:color w:val="000000"/>
        <w:sz w:val="20"/>
      </w:rPr>
      <w:t xml:space="preserve"> </w:t>
    </w:r>
    <w:proofErr w:type="spellStart"/>
    <w:r w:rsidRPr="00865A94">
      <w:rPr>
        <w:rFonts w:ascii="Palatino Linotype" w:eastAsia="Palatino Linotype" w:hAnsi="Palatino Linotype" w:cs="Palatino Linotype"/>
        <w:color w:val="000000"/>
        <w:sz w:val="20"/>
      </w:rPr>
      <w:t>Belah</w:t>
    </w:r>
    <w:proofErr w:type="spellEnd"/>
    <w:r>
      <w:rPr>
        <w:rFonts w:ascii="Palatino Linotype" w:eastAsia="Palatino Linotype" w:hAnsi="Palatino Linotype" w:cs="Palatino Linotype"/>
        <w:color w:val="000000"/>
        <w:sz w:val="20"/>
      </w:rPr>
      <w:t xml:space="preserve"> (</w:t>
    </w:r>
    <w:proofErr w:type="spellStart"/>
    <w:r w:rsidRPr="00865A94">
      <w:rPr>
        <w:rFonts w:ascii="Palatino Linotype" w:eastAsia="Palatino Linotype" w:hAnsi="Palatino Linotype" w:cs="Palatino Linotype"/>
        <w:color w:val="000000"/>
        <w:sz w:val="20"/>
      </w:rPr>
      <w:t>Dahrani</w:t>
    </w:r>
    <w:proofErr w:type="spellEnd"/>
    <w:r w:rsidR="00A12A6F">
      <w:rPr>
        <w:noProof/>
        <w:lang w:val="id-ID" w:eastAsia="id-ID"/>
      </w:rPr>
      <mc:AlternateContent>
        <mc:Choice Requires="wps">
          <w:drawing>
            <wp:anchor distT="0" distB="0" distL="114300" distR="114300" simplePos="0" relativeHeight="251658240" behindDoc="0" locked="0" layoutInCell="1" hidden="0" allowOverlap="1" wp14:anchorId="2289DA7C" wp14:editId="1D8F83BE">
              <wp:simplePos x="0" y="0"/>
              <wp:positionH relativeFrom="column">
                <wp:posOffset>1</wp:posOffset>
              </wp:positionH>
              <wp:positionV relativeFrom="paragraph">
                <wp:posOffset>190500</wp:posOffset>
              </wp:positionV>
              <wp:extent cx="0" cy="12700"/>
              <wp:effectExtent l="0" t="0" r="0" b="0"/>
              <wp:wrapNone/>
              <wp:docPr id="138" name="Straight Arrow Connector 138"/>
              <wp:cNvGraphicFramePr/>
              <a:graphic xmlns:a="http://schemas.openxmlformats.org/drawingml/2006/main">
                <a:graphicData uri="http://schemas.microsoft.com/office/word/2010/wordprocessingShape">
                  <wps:wsp>
                    <wps:cNvCnPr/>
                    <wps:spPr>
                      <a:xfrm>
                        <a:off x="2285300" y="3780000"/>
                        <a:ext cx="61214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oel="http://schemas.microsoft.com/office/2019/extlst"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2700"/>
              <wp:effectExtent b="0" l="0" r="0" t="0"/>
              <wp:wrapNone/>
              <wp:docPr id="138"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r>
      <w:rPr>
        <w:rFonts w:ascii="Palatino Linotype" w:eastAsia="Palatino Linotype" w:hAnsi="Palatino Linotype" w:cs="Palatino Linotype"/>
        <w:color w:val="000000"/>
        <w:sz w:val="20"/>
      </w:rPr>
      <w:t xml:space="preserve"> et al)</w:t>
    </w:r>
  </w:p>
  <w:p w14:paraId="3AD4477C" w14:textId="77777777" w:rsidR="0078495C" w:rsidRDefault="0078495C"/>
  <w:p w14:paraId="7CC73683" w14:textId="77777777" w:rsidR="0078495C" w:rsidRDefault="007849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42EE5" w14:textId="77777777" w:rsidR="0078495C" w:rsidRDefault="0078495C"/>
  <w:tbl>
    <w:tblPr>
      <w:tblStyle w:val="a6"/>
      <w:tblW w:w="6771" w:type="dxa"/>
      <w:tblInd w:w="-216" w:type="dxa"/>
      <w:tblBorders>
        <w:top w:val="nil"/>
        <w:left w:val="nil"/>
        <w:bottom w:val="nil"/>
        <w:right w:val="nil"/>
        <w:insideH w:val="nil"/>
        <w:insideV w:val="nil"/>
      </w:tblBorders>
      <w:tblLayout w:type="fixed"/>
      <w:tblLook w:val="0400" w:firstRow="0" w:lastRow="0" w:firstColumn="0" w:lastColumn="0" w:noHBand="0" w:noVBand="1"/>
    </w:tblPr>
    <w:tblGrid>
      <w:gridCol w:w="2518"/>
      <w:gridCol w:w="4253"/>
    </w:tblGrid>
    <w:tr w:rsidR="0078495C" w14:paraId="3D41E868" w14:textId="77777777">
      <w:tc>
        <w:tcPr>
          <w:tcW w:w="2518" w:type="dxa"/>
        </w:tcPr>
        <w:p w14:paraId="0BA7D858" w14:textId="77777777" w:rsidR="0078495C" w:rsidRDefault="00A12A6F">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Volume 5 Number 1 (2024)</w:t>
          </w:r>
        </w:p>
        <w:p w14:paraId="41235095" w14:textId="77777777" w:rsidR="0078495C" w:rsidRDefault="00A12A6F">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July-December 2024</w:t>
          </w:r>
        </w:p>
        <w:p w14:paraId="02D728D8" w14:textId="684A14B2" w:rsidR="0078495C" w:rsidRPr="00200F09" w:rsidRDefault="00A12A6F" w:rsidP="00200F09">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lang w:val="id-ID"/>
            </w:rPr>
          </w:pPr>
          <w:r>
            <w:rPr>
              <w:rFonts w:ascii="Palatino Linotype" w:eastAsia="Palatino Linotype" w:hAnsi="Palatino Linotype" w:cs="Palatino Linotype"/>
              <w:color w:val="000000"/>
              <w:sz w:val="18"/>
              <w:szCs w:val="18"/>
            </w:rPr>
            <w:t>Page:</w:t>
          </w:r>
          <w:r w:rsidR="00200F09">
            <w:rPr>
              <w:rFonts w:ascii="Palatino Linotype" w:eastAsia="Palatino Linotype" w:hAnsi="Palatino Linotype" w:cs="Palatino Linotype"/>
              <w:color w:val="000000"/>
              <w:sz w:val="18"/>
              <w:szCs w:val="18"/>
              <w:lang w:val="id-ID"/>
            </w:rPr>
            <w:t>2146-2156</w:t>
          </w:r>
        </w:p>
      </w:tc>
      <w:tc>
        <w:tcPr>
          <w:tcW w:w="4253" w:type="dxa"/>
        </w:tcPr>
        <w:p w14:paraId="1346893D" w14:textId="77777777" w:rsidR="0078495C" w:rsidRDefault="00A12A6F">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E-ISSN: 2745-4584</w:t>
          </w:r>
        </w:p>
        <w:p w14:paraId="140BA76E" w14:textId="77777777" w:rsidR="0078495C" w:rsidRDefault="00620C63">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hyperlink r:id="rId1">
            <w:r w:rsidR="00A12A6F">
              <w:rPr>
                <w:rFonts w:ascii="Palatino Linotype" w:eastAsia="Palatino Linotype" w:hAnsi="Palatino Linotype" w:cs="Palatino Linotype"/>
                <w:color w:val="000000"/>
                <w:sz w:val="18"/>
                <w:szCs w:val="18"/>
              </w:rPr>
              <w:t>https://ejournal.insuriponorogo.ac.id</w:t>
            </w:r>
          </w:hyperlink>
        </w:p>
        <w:p w14:paraId="1E22EF45" w14:textId="381BDB97" w:rsidR="0078495C" w:rsidRDefault="00A12A6F">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70C0"/>
              <w:sz w:val="18"/>
              <w:szCs w:val="18"/>
            </w:rPr>
            <w:t>DOI:</w:t>
          </w:r>
          <w:r w:rsidR="00D97620">
            <w:t xml:space="preserve"> </w:t>
          </w:r>
          <w:hyperlink r:id="rId2" w:history="1">
            <w:r w:rsidR="00D97620">
              <w:rPr>
                <w:rStyle w:val="Hyperlink"/>
                <w:rFonts w:ascii="Helvetica" w:hAnsi="Helvetica"/>
                <w:color w:val="008CBA"/>
                <w:sz w:val="18"/>
                <w:szCs w:val="18"/>
              </w:rPr>
              <w:t>https://doi.org/10.37680/almikraj.v5i01.6695</w:t>
            </w:r>
          </w:hyperlink>
        </w:p>
      </w:tc>
    </w:tr>
  </w:tbl>
  <w:p w14:paraId="247DBC6B" w14:textId="77777777" w:rsidR="0078495C" w:rsidRDefault="00A12A6F">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326C6"/>
    <w:multiLevelType w:val="multilevel"/>
    <w:tmpl w:val="6A2E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A82A41"/>
    <w:multiLevelType w:val="hybridMultilevel"/>
    <w:tmpl w:val="5A6EC4FE"/>
    <w:lvl w:ilvl="0" w:tplc="CB5AB454">
      <w:start w:val="1"/>
      <w:numFmt w:val="decimal"/>
      <w:lvlText w:val="%1."/>
      <w:lvlJc w:val="left"/>
      <w:pPr>
        <w:tabs>
          <w:tab w:val="num" w:pos="720"/>
        </w:tabs>
        <w:ind w:left="720" w:hanging="360"/>
      </w:pPr>
    </w:lvl>
    <w:lvl w:ilvl="1" w:tplc="945293F6" w:tentative="1">
      <w:start w:val="1"/>
      <w:numFmt w:val="decimal"/>
      <w:lvlText w:val="%2."/>
      <w:lvlJc w:val="left"/>
      <w:pPr>
        <w:tabs>
          <w:tab w:val="num" w:pos="1440"/>
        </w:tabs>
        <w:ind w:left="1440" w:hanging="360"/>
      </w:pPr>
    </w:lvl>
    <w:lvl w:ilvl="2" w:tplc="F02C5D22" w:tentative="1">
      <w:start w:val="1"/>
      <w:numFmt w:val="decimal"/>
      <w:lvlText w:val="%3."/>
      <w:lvlJc w:val="left"/>
      <w:pPr>
        <w:tabs>
          <w:tab w:val="num" w:pos="2160"/>
        </w:tabs>
        <w:ind w:left="2160" w:hanging="360"/>
      </w:pPr>
    </w:lvl>
    <w:lvl w:ilvl="3" w:tplc="77AC7052" w:tentative="1">
      <w:start w:val="1"/>
      <w:numFmt w:val="decimal"/>
      <w:lvlText w:val="%4."/>
      <w:lvlJc w:val="left"/>
      <w:pPr>
        <w:tabs>
          <w:tab w:val="num" w:pos="2880"/>
        </w:tabs>
        <w:ind w:left="2880" w:hanging="360"/>
      </w:pPr>
    </w:lvl>
    <w:lvl w:ilvl="4" w:tplc="8E1C5996" w:tentative="1">
      <w:start w:val="1"/>
      <w:numFmt w:val="decimal"/>
      <w:lvlText w:val="%5."/>
      <w:lvlJc w:val="left"/>
      <w:pPr>
        <w:tabs>
          <w:tab w:val="num" w:pos="3600"/>
        </w:tabs>
        <w:ind w:left="3600" w:hanging="360"/>
      </w:pPr>
    </w:lvl>
    <w:lvl w:ilvl="5" w:tplc="568A6DB2" w:tentative="1">
      <w:start w:val="1"/>
      <w:numFmt w:val="decimal"/>
      <w:lvlText w:val="%6."/>
      <w:lvlJc w:val="left"/>
      <w:pPr>
        <w:tabs>
          <w:tab w:val="num" w:pos="4320"/>
        </w:tabs>
        <w:ind w:left="4320" w:hanging="360"/>
      </w:pPr>
    </w:lvl>
    <w:lvl w:ilvl="6" w:tplc="ABEC271E" w:tentative="1">
      <w:start w:val="1"/>
      <w:numFmt w:val="decimal"/>
      <w:lvlText w:val="%7."/>
      <w:lvlJc w:val="left"/>
      <w:pPr>
        <w:tabs>
          <w:tab w:val="num" w:pos="5040"/>
        </w:tabs>
        <w:ind w:left="5040" w:hanging="360"/>
      </w:pPr>
    </w:lvl>
    <w:lvl w:ilvl="7" w:tplc="03702728" w:tentative="1">
      <w:start w:val="1"/>
      <w:numFmt w:val="decimal"/>
      <w:lvlText w:val="%8."/>
      <w:lvlJc w:val="left"/>
      <w:pPr>
        <w:tabs>
          <w:tab w:val="num" w:pos="5760"/>
        </w:tabs>
        <w:ind w:left="5760" w:hanging="360"/>
      </w:pPr>
    </w:lvl>
    <w:lvl w:ilvl="8" w:tplc="7B0CFCE8" w:tentative="1">
      <w:start w:val="1"/>
      <w:numFmt w:val="decimal"/>
      <w:lvlText w:val="%9."/>
      <w:lvlJc w:val="left"/>
      <w:pPr>
        <w:tabs>
          <w:tab w:val="num" w:pos="6480"/>
        </w:tabs>
        <w:ind w:left="6480" w:hanging="360"/>
      </w:pPr>
    </w:lvl>
  </w:abstractNum>
  <w:abstractNum w:abstractNumId="2">
    <w:nsid w:val="497374CF"/>
    <w:multiLevelType w:val="hybridMultilevel"/>
    <w:tmpl w:val="4896023E"/>
    <w:lvl w:ilvl="0" w:tplc="CBB42E5E">
      <w:start w:val="1"/>
      <w:numFmt w:val="upperLetter"/>
      <w:lvlText w:val="%1."/>
      <w:lvlJc w:val="left"/>
      <w:pPr>
        <w:ind w:left="720" w:hanging="360"/>
      </w:pPr>
      <w:rPr>
        <w:rFonts w:eastAsia="Montserrat" w:hint="default"/>
        <w:b/>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4DB30271"/>
    <w:multiLevelType w:val="hybridMultilevel"/>
    <w:tmpl w:val="F044E512"/>
    <w:lvl w:ilvl="0" w:tplc="E8BCF39A">
      <w:start w:val="1"/>
      <w:numFmt w:val="decimal"/>
      <w:lvlText w:val="%1."/>
      <w:lvlJc w:val="left"/>
      <w:pPr>
        <w:ind w:left="1180" w:hanging="360"/>
      </w:pPr>
      <w:rPr>
        <w:rFonts w:hint="default"/>
        <w:b w:val="0"/>
      </w:rPr>
    </w:lvl>
    <w:lvl w:ilvl="1" w:tplc="38090019" w:tentative="1">
      <w:start w:val="1"/>
      <w:numFmt w:val="lowerLetter"/>
      <w:lvlText w:val="%2."/>
      <w:lvlJc w:val="left"/>
      <w:pPr>
        <w:ind w:left="1900" w:hanging="360"/>
      </w:pPr>
    </w:lvl>
    <w:lvl w:ilvl="2" w:tplc="3809001B" w:tentative="1">
      <w:start w:val="1"/>
      <w:numFmt w:val="lowerRoman"/>
      <w:lvlText w:val="%3."/>
      <w:lvlJc w:val="right"/>
      <w:pPr>
        <w:ind w:left="2620" w:hanging="180"/>
      </w:pPr>
    </w:lvl>
    <w:lvl w:ilvl="3" w:tplc="3809000F" w:tentative="1">
      <w:start w:val="1"/>
      <w:numFmt w:val="decimal"/>
      <w:lvlText w:val="%4."/>
      <w:lvlJc w:val="left"/>
      <w:pPr>
        <w:ind w:left="3340" w:hanging="360"/>
      </w:pPr>
    </w:lvl>
    <w:lvl w:ilvl="4" w:tplc="38090019" w:tentative="1">
      <w:start w:val="1"/>
      <w:numFmt w:val="lowerLetter"/>
      <w:lvlText w:val="%5."/>
      <w:lvlJc w:val="left"/>
      <w:pPr>
        <w:ind w:left="4060" w:hanging="360"/>
      </w:pPr>
    </w:lvl>
    <w:lvl w:ilvl="5" w:tplc="3809001B" w:tentative="1">
      <w:start w:val="1"/>
      <w:numFmt w:val="lowerRoman"/>
      <w:lvlText w:val="%6."/>
      <w:lvlJc w:val="right"/>
      <w:pPr>
        <w:ind w:left="4780" w:hanging="180"/>
      </w:pPr>
    </w:lvl>
    <w:lvl w:ilvl="6" w:tplc="3809000F" w:tentative="1">
      <w:start w:val="1"/>
      <w:numFmt w:val="decimal"/>
      <w:lvlText w:val="%7."/>
      <w:lvlJc w:val="left"/>
      <w:pPr>
        <w:ind w:left="5500" w:hanging="360"/>
      </w:pPr>
    </w:lvl>
    <w:lvl w:ilvl="7" w:tplc="38090019" w:tentative="1">
      <w:start w:val="1"/>
      <w:numFmt w:val="lowerLetter"/>
      <w:lvlText w:val="%8."/>
      <w:lvlJc w:val="left"/>
      <w:pPr>
        <w:ind w:left="6220" w:hanging="360"/>
      </w:pPr>
    </w:lvl>
    <w:lvl w:ilvl="8" w:tplc="3809001B" w:tentative="1">
      <w:start w:val="1"/>
      <w:numFmt w:val="lowerRoman"/>
      <w:lvlText w:val="%9."/>
      <w:lvlJc w:val="right"/>
      <w:pPr>
        <w:ind w:left="6940" w:hanging="180"/>
      </w:pPr>
    </w:lvl>
  </w:abstractNum>
  <w:abstractNum w:abstractNumId="4">
    <w:nsid w:val="536B070F"/>
    <w:multiLevelType w:val="hybridMultilevel"/>
    <w:tmpl w:val="EB22127E"/>
    <w:lvl w:ilvl="0" w:tplc="CDB06B76">
      <w:start w:val="1"/>
      <w:numFmt w:val="decimal"/>
      <w:lvlText w:val="%1."/>
      <w:lvlJc w:val="left"/>
      <w:pPr>
        <w:tabs>
          <w:tab w:val="num" w:pos="720"/>
        </w:tabs>
        <w:ind w:left="720" w:hanging="360"/>
      </w:pPr>
    </w:lvl>
    <w:lvl w:ilvl="1" w:tplc="1C58C9B2" w:tentative="1">
      <w:start w:val="1"/>
      <w:numFmt w:val="decimal"/>
      <w:lvlText w:val="%2."/>
      <w:lvlJc w:val="left"/>
      <w:pPr>
        <w:tabs>
          <w:tab w:val="num" w:pos="1440"/>
        </w:tabs>
        <w:ind w:left="1440" w:hanging="360"/>
      </w:pPr>
    </w:lvl>
    <w:lvl w:ilvl="2" w:tplc="6688F604" w:tentative="1">
      <w:start w:val="1"/>
      <w:numFmt w:val="decimal"/>
      <w:lvlText w:val="%3."/>
      <w:lvlJc w:val="left"/>
      <w:pPr>
        <w:tabs>
          <w:tab w:val="num" w:pos="2160"/>
        </w:tabs>
        <w:ind w:left="2160" w:hanging="360"/>
      </w:pPr>
    </w:lvl>
    <w:lvl w:ilvl="3" w:tplc="916A1ABE" w:tentative="1">
      <w:start w:val="1"/>
      <w:numFmt w:val="decimal"/>
      <w:lvlText w:val="%4."/>
      <w:lvlJc w:val="left"/>
      <w:pPr>
        <w:tabs>
          <w:tab w:val="num" w:pos="2880"/>
        </w:tabs>
        <w:ind w:left="2880" w:hanging="360"/>
      </w:pPr>
    </w:lvl>
    <w:lvl w:ilvl="4" w:tplc="364A21E4" w:tentative="1">
      <w:start w:val="1"/>
      <w:numFmt w:val="decimal"/>
      <w:lvlText w:val="%5."/>
      <w:lvlJc w:val="left"/>
      <w:pPr>
        <w:tabs>
          <w:tab w:val="num" w:pos="3600"/>
        </w:tabs>
        <w:ind w:left="3600" w:hanging="360"/>
      </w:pPr>
    </w:lvl>
    <w:lvl w:ilvl="5" w:tplc="AD0C2B16" w:tentative="1">
      <w:start w:val="1"/>
      <w:numFmt w:val="decimal"/>
      <w:lvlText w:val="%6."/>
      <w:lvlJc w:val="left"/>
      <w:pPr>
        <w:tabs>
          <w:tab w:val="num" w:pos="4320"/>
        </w:tabs>
        <w:ind w:left="4320" w:hanging="360"/>
      </w:pPr>
    </w:lvl>
    <w:lvl w:ilvl="6" w:tplc="5DDA02A8" w:tentative="1">
      <w:start w:val="1"/>
      <w:numFmt w:val="decimal"/>
      <w:lvlText w:val="%7."/>
      <w:lvlJc w:val="left"/>
      <w:pPr>
        <w:tabs>
          <w:tab w:val="num" w:pos="5040"/>
        </w:tabs>
        <w:ind w:left="5040" w:hanging="360"/>
      </w:pPr>
    </w:lvl>
    <w:lvl w:ilvl="7" w:tplc="3E78F958" w:tentative="1">
      <w:start w:val="1"/>
      <w:numFmt w:val="decimal"/>
      <w:lvlText w:val="%8."/>
      <w:lvlJc w:val="left"/>
      <w:pPr>
        <w:tabs>
          <w:tab w:val="num" w:pos="5760"/>
        </w:tabs>
        <w:ind w:left="5760" w:hanging="360"/>
      </w:pPr>
    </w:lvl>
    <w:lvl w:ilvl="8" w:tplc="6FD22982" w:tentative="1">
      <w:start w:val="1"/>
      <w:numFmt w:val="decimal"/>
      <w:lvlText w:val="%9."/>
      <w:lvlJc w:val="left"/>
      <w:pPr>
        <w:tabs>
          <w:tab w:val="num" w:pos="6480"/>
        </w:tabs>
        <w:ind w:left="6480" w:hanging="360"/>
      </w:pPr>
    </w:lvl>
  </w:abstractNum>
  <w:abstractNum w:abstractNumId="5">
    <w:nsid w:val="71B44D3C"/>
    <w:multiLevelType w:val="multilevel"/>
    <w:tmpl w:val="E1E4655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B83601"/>
    <w:multiLevelType w:val="multilevel"/>
    <w:tmpl w:val="1742C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95C"/>
    <w:rsid w:val="00100CCC"/>
    <w:rsid w:val="00135494"/>
    <w:rsid w:val="001C1510"/>
    <w:rsid w:val="00200F09"/>
    <w:rsid w:val="004D34D1"/>
    <w:rsid w:val="00587EC6"/>
    <w:rsid w:val="00620C63"/>
    <w:rsid w:val="0078495C"/>
    <w:rsid w:val="008039A7"/>
    <w:rsid w:val="00853402"/>
    <w:rsid w:val="00865A94"/>
    <w:rsid w:val="0087261B"/>
    <w:rsid w:val="008937A9"/>
    <w:rsid w:val="008B2209"/>
    <w:rsid w:val="00916B57"/>
    <w:rsid w:val="00957F29"/>
    <w:rsid w:val="0099431E"/>
    <w:rsid w:val="009C3F06"/>
    <w:rsid w:val="00A12A6F"/>
    <w:rsid w:val="00A73FC1"/>
    <w:rsid w:val="00AD1331"/>
    <w:rsid w:val="00AE1144"/>
    <w:rsid w:val="00B21F3B"/>
    <w:rsid w:val="00C569FD"/>
    <w:rsid w:val="00C86BE4"/>
    <w:rsid w:val="00C94AC0"/>
    <w:rsid w:val="00CF319A"/>
    <w:rsid w:val="00D74E72"/>
    <w:rsid w:val="00D97620"/>
    <w:rsid w:val="00DA157D"/>
    <w:rsid w:val="00E3378B"/>
    <w:rsid w:val="00E41D89"/>
    <w:rsid w:val="00ED1572"/>
    <w:rsid w:val="00EE3B90"/>
    <w:rsid w:val="00F7754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7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6"/>
        <w:szCs w:val="16"/>
        <w:lang w:val="en-GB" w:eastAsia="en-ID"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spacing w:line="230" w:lineRule="exact"/>
    </w:pPr>
    <w:rPr>
      <w:rFonts w:eastAsia="SimSun"/>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line="240" w:lineRule="auto"/>
    </w:pPr>
    <w:rPr>
      <w:rFonts w:eastAsia="SimSu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aliases w:val="Char"/>
    <w:basedOn w:val="Normal"/>
    <w:link w:val="FootnoteTextChar"/>
    <w:uiPriority w:val="99"/>
    <w:unhideWhenUsed/>
    <w:rsid w:val="00302E97"/>
    <w:pPr>
      <w:spacing w:line="240" w:lineRule="auto"/>
    </w:pPr>
    <w:rPr>
      <w:sz w:val="20"/>
    </w:rPr>
  </w:style>
  <w:style w:type="character" w:customStyle="1" w:styleId="FootnoteTextChar">
    <w:name w:val="Footnote Text Char"/>
    <w:aliases w:val="Char Char"/>
    <w:basedOn w:val="DefaultParagraphFont"/>
    <w:link w:val="FootnoteText"/>
    <w:uiPriority w:val="99"/>
    <w:rsid w:val="00302E97"/>
    <w:rPr>
      <w:rFonts w:ascii="Times New Roman" w:eastAsia="SimSun" w:hAnsi="Times New Roman" w:cs="Times New Roman"/>
      <w:sz w:val="20"/>
      <w:szCs w:val="20"/>
      <w:lang w:val="en-GB"/>
    </w:rPr>
  </w:style>
  <w:style w:type="character" w:styleId="FootnoteReference">
    <w:name w:val="footnote reference"/>
    <w:uiPriority w:val="99"/>
    <w:semiHidden/>
    <w:unhideWhenUsed/>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unhideWhenUsed/>
    <w:rsid w:val="00135494"/>
    <w:pPr>
      <w:widowControl/>
      <w:spacing w:before="100" w:beforeAutospacing="1" w:after="100" w:afterAutospacing="1" w:line="240" w:lineRule="auto"/>
    </w:pPr>
    <w:rPr>
      <w:rFonts w:eastAsiaTheme="minorEastAsia"/>
      <w:sz w:val="24"/>
      <w:szCs w:val="24"/>
      <w:lang w:val="en-ID"/>
    </w:rPr>
  </w:style>
  <w:style w:type="character" w:customStyle="1" w:styleId="UnresolvedMention">
    <w:name w:val="Unresolved Mention"/>
    <w:basedOn w:val="DefaultParagraphFont"/>
    <w:uiPriority w:val="99"/>
    <w:semiHidden/>
    <w:unhideWhenUsed/>
    <w:rsid w:val="00C86BE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6"/>
        <w:szCs w:val="16"/>
        <w:lang w:val="en-GB" w:eastAsia="en-ID" w:bidi="ar-SA"/>
      </w:rPr>
    </w:rPrDefault>
    <w:pPrDefault>
      <w:pPr>
        <w:widowControl w:val="0"/>
        <w:spacing w:line="23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E97"/>
    <w:pPr>
      <w:spacing w:line="230" w:lineRule="exact"/>
    </w:pPr>
    <w:rPr>
      <w:rFonts w:eastAsia="SimSun"/>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line="240" w:lineRule="auto"/>
    </w:pPr>
    <w:rPr>
      <w:rFonts w:eastAsia="SimSu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aliases w:val="Char"/>
    <w:basedOn w:val="Normal"/>
    <w:link w:val="FootnoteTextChar"/>
    <w:uiPriority w:val="99"/>
    <w:unhideWhenUsed/>
    <w:rsid w:val="00302E97"/>
    <w:pPr>
      <w:spacing w:line="240" w:lineRule="auto"/>
    </w:pPr>
    <w:rPr>
      <w:sz w:val="20"/>
    </w:rPr>
  </w:style>
  <w:style w:type="character" w:customStyle="1" w:styleId="FootnoteTextChar">
    <w:name w:val="Footnote Text Char"/>
    <w:aliases w:val="Char Char"/>
    <w:basedOn w:val="DefaultParagraphFont"/>
    <w:link w:val="FootnoteText"/>
    <w:uiPriority w:val="99"/>
    <w:rsid w:val="00302E97"/>
    <w:rPr>
      <w:rFonts w:ascii="Times New Roman" w:eastAsia="SimSun" w:hAnsi="Times New Roman" w:cs="Times New Roman"/>
      <w:sz w:val="20"/>
      <w:szCs w:val="20"/>
      <w:lang w:val="en-GB"/>
    </w:rPr>
  </w:style>
  <w:style w:type="character" w:styleId="FootnoteReference">
    <w:name w:val="footnote reference"/>
    <w:uiPriority w:val="99"/>
    <w:semiHidden/>
    <w:unhideWhenUsed/>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 w:val="24"/>
      <w:szCs w:val="20"/>
      <w:lang w:val="en-US" w:eastAsia="de-DE" w:bidi="en-US"/>
    </w:rPr>
  </w:style>
  <w:style w:type="table" w:customStyle="1" w:styleId="PlainTable21">
    <w:name w:val="Plain Table 21"/>
    <w:basedOn w:val="TableNormal"/>
    <w:uiPriority w:val="42"/>
    <w:rsid w:val="00A2783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line="240" w:lineRule="auto"/>
    </w:pPr>
    <w:rPr>
      <w:rFonts w:ascii="Calibri" w:eastAsia="MS Mincho" w:hAnsi="Calibri"/>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spacing w:line="240" w:lineRule="auto"/>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unhideWhenUsed/>
    <w:rsid w:val="00135494"/>
    <w:pPr>
      <w:widowControl/>
      <w:spacing w:before="100" w:beforeAutospacing="1" w:after="100" w:afterAutospacing="1" w:line="240" w:lineRule="auto"/>
    </w:pPr>
    <w:rPr>
      <w:rFonts w:eastAsiaTheme="minorEastAsia"/>
      <w:sz w:val="24"/>
      <w:szCs w:val="24"/>
      <w:lang w:val="en-ID"/>
    </w:rPr>
  </w:style>
  <w:style w:type="character" w:customStyle="1" w:styleId="UnresolvedMention">
    <w:name w:val="Unresolved Mention"/>
    <w:basedOn w:val="DefaultParagraphFont"/>
    <w:uiPriority w:val="99"/>
    <w:semiHidden/>
    <w:unhideWhenUsed/>
    <w:rsid w:val="00C86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eativecommons.org/licenses/by-sa/4.0/"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izadiliyawati@gmail.com"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mailto:dahrani080808@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hyperlink" Target="https://doi.org/10.37680/almikraj.v5i01.6695" TargetMode="External"/><Relationship Id="rId1" Type="http://schemas.openxmlformats.org/officeDocument/2006/relationships/hyperlink" Target="https://ejournal.insuriponorogo.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TJ/mYrMA4fT4yEPpQdfcYL9Y/A==">CgMxLjAyCGguZ2pkZ3hzOABqKgoUc3VnZ2VzdC41eDJuazdsZTFtMDkSEk11cmRpYW50byBBbiBOYXdpZWohChRzdWdnZXN0LnY1bXFpZDN1cG56MxIJQW5vbnltb3VzciExUjJNWThEaUtRSHBJaVdmMUdydjJXblpxUWRiTWhGRDQ=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9AAFC8-FAB9-4BCD-B232-B9092C1A4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3846</Words>
  <Characters>21928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dc:creator>
  <cp:lastModifiedBy>Acer-pc</cp:lastModifiedBy>
  <cp:revision>22</cp:revision>
  <cp:lastPrinted>2024-12-30T22:45:00Z</cp:lastPrinted>
  <dcterms:created xsi:type="dcterms:W3CDTF">2023-06-03T08:08:00Z</dcterms:created>
  <dcterms:modified xsi:type="dcterms:W3CDTF">2024-12-30T22:45:00Z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Mendeley Unique User Id_1">
    <vt:lpwstr>2eeec898-dca6-34e4-8b62-123155586a07</vt:lpwstr>
  </property>
</Properties>
</file>