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D90B14" w14:textId="44365867" w:rsidR="00CF67EB" w:rsidRPr="00EF56CC" w:rsidRDefault="008D07DE" w:rsidP="00895936">
      <w:pPr>
        <w:spacing w:line="240" w:lineRule="auto"/>
        <w:contextualSpacing/>
        <w:jc w:val="center"/>
        <w:rPr>
          <w:rFonts w:ascii="Palatino Linotype" w:hAnsi="Palatino Linotype"/>
          <w:b/>
          <w:bCs/>
          <w:sz w:val="24"/>
          <w:szCs w:val="24"/>
          <w:lang w:val="en-US"/>
        </w:rPr>
      </w:pPr>
      <w:r w:rsidRPr="00057DDF">
        <w:rPr>
          <w:rFonts w:ascii="Palatino Linotype" w:hAnsi="Palatino Linotype"/>
          <w:b/>
          <w:bCs/>
          <w:sz w:val="24"/>
          <w:szCs w:val="24"/>
          <w:lang w:val="en-US"/>
        </w:rPr>
        <w:t xml:space="preserve">THE USE OF STUDENT WORKSHEETS TO FOSTER INDEPENDENT LEARNING AMONG STUDENTS AT </w:t>
      </w:r>
      <w:r w:rsidR="006C7CA1">
        <w:rPr>
          <w:rFonts w:ascii="Palatino Linotype" w:hAnsi="Palatino Linotype"/>
          <w:b/>
          <w:bCs/>
          <w:sz w:val="24"/>
          <w:szCs w:val="24"/>
          <w:lang w:val="en-US"/>
        </w:rPr>
        <w:t>ISLAMIC JUNIOR HIGH SCHOOL</w:t>
      </w:r>
      <w:r w:rsidRPr="00057DDF">
        <w:rPr>
          <w:rFonts w:ascii="Palatino Linotype" w:hAnsi="Palatino Linotype"/>
          <w:b/>
          <w:bCs/>
          <w:sz w:val="24"/>
          <w:szCs w:val="24"/>
          <w:lang w:val="en-US"/>
        </w:rPr>
        <w:t xml:space="preserve"> </w:t>
      </w:r>
    </w:p>
    <w:p w14:paraId="718BECC2" w14:textId="77777777" w:rsidR="00CF67EB" w:rsidRPr="00895936" w:rsidRDefault="00CF67EB" w:rsidP="00895936">
      <w:pPr>
        <w:spacing w:line="240" w:lineRule="auto"/>
        <w:contextualSpacing/>
        <w:jc w:val="both"/>
        <w:rPr>
          <w:rFonts w:ascii="Palatino Linotype" w:hAnsi="Palatino Linotype"/>
          <w:b/>
          <w:bCs/>
          <w:i/>
          <w:iCs/>
          <w:sz w:val="24"/>
          <w:szCs w:val="24"/>
          <w:lang w:val="en-US"/>
        </w:rPr>
      </w:pPr>
    </w:p>
    <w:p w14:paraId="07673AB8" w14:textId="7B4B3C91" w:rsidR="00EF56CC" w:rsidRPr="00895936" w:rsidRDefault="00EF56CC" w:rsidP="00895936">
      <w:pPr>
        <w:spacing w:line="240" w:lineRule="auto"/>
        <w:contextualSpacing/>
        <w:jc w:val="right"/>
        <w:rPr>
          <w:rFonts w:ascii="Palatino Linotype" w:hAnsi="Palatino Linotype"/>
          <w:b/>
          <w:bCs/>
          <w:sz w:val="22"/>
          <w:szCs w:val="22"/>
          <w:vertAlign w:val="superscript"/>
        </w:rPr>
      </w:pPr>
      <w:proofErr w:type="spellStart"/>
      <w:r w:rsidRPr="00895936">
        <w:rPr>
          <w:rFonts w:ascii="Palatino Linotype" w:hAnsi="Palatino Linotype"/>
          <w:b/>
          <w:bCs/>
          <w:sz w:val="22"/>
          <w:szCs w:val="22"/>
        </w:rPr>
        <w:t>Hafizhatul</w:t>
      </w:r>
      <w:proofErr w:type="spellEnd"/>
      <w:r w:rsidRPr="00895936">
        <w:rPr>
          <w:rFonts w:ascii="Palatino Linotype" w:hAnsi="Palatino Linotype"/>
          <w:b/>
          <w:bCs/>
          <w:sz w:val="22"/>
          <w:szCs w:val="22"/>
        </w:rPr>
        <w:t xml:space="preserve"> Hikmah</w:t>
      </w:r>
      <w:r w:rsidRPr="00895936">
        <w:rPr>
          <w:rFonts w:ascii="Palatino Linotype" w:hAnsi="Palatino Linotype"/>
          <w:b/>
          <w:bCs/>
          <w:sz w:val="22"/>
          <w:szCs w:val="22"/>
          <w:vertAlign w:val="superscript"/>
        </w:rPr>
        <w:t>1</w:t>
      </w:r>
      <w:r w:rsidRPr="00895936">
        <w:rPr>
          <w:rFonts w:ascii="Palatino Linotype" w:hAnsi="Palatino Linotype"/>
          <w:b/>
          <w:bCs/>
          <w:sz w:val="22"/>
          <w:szCs w:val="22"/>
        </w:rPr>
        <w:t>,</w:t>
      </w:r>
      <w:r w:rsidRPr="00895936">
        <w:rPr>
          <w:rFonts w:ascii="Palatino Linotype" w:hAnsi="Palatino Linotype"/>
          <w:b/>
          <w:bCs/>
          <w:sz w:val="22"/>
          <w:szCs w:val="22"/>
        </w:rPr>
        <w:t xml:space="preserve"> M. Yahuda</w:t>
      </w:r>
      <w:r w:rsidRPr="00895936">
        <w:rPr>
          <w:rFonts w:ascii="Palatino Linotype" w:hAnsi="Palatino Linotype"/>
          <w:b/>
          <w:bCs/>
          <w:sz w:val="22"/>
          <w:szCs w:val="22"/>
          <w:vertAlign w:val="superscript"/>
        </w:rPr>
        <w:t>2</w:t>
      </w:r>
    </w:p>
    <w:p w14:paraId="2AC29D64" w14:textId="48FBF5EE" w:rsidR="003734DF" w:rsidRDefault="00EF56CC" w:rsidP="00895936">
      <w:pPr>
        <w:spacing w:line="240" w:lineRule="auto"/>
        <w:contextualSpacing/>
        <w:jc w:val="right"/>
        <w:rPr>
          <w:rFonts w:ascii="Palatino Linotype" w:hAnsi="Palatino Linotype"/>
          <w:sz w:val="22"/>
          <w:szCs w:val="22"/>
        </w:rPr>
      </w:pPr>
      <w:r>
        <w:rPr>
          <w:rFonts w:ascii="Palatino Linotype" w:hAnsi="Palatino Linotype"/>
          <w:sz w:val="22"/>
          <w:szCs w:val="22"/>
          <w:vertAlign w:val="superscript"/>
        </w:rPr>
        <w:t>12</w:t>
      </w:r>
      <w:r w:rsidRPr="00EF56CC">
        <w:rPr>
          <w:rFonts w:ascii="Palatino Linotype" w:hAnsi="Palatino Linotype"/>
          <w:sz w:val="22"/>
          <w:szCs w:val="22"/>
        </w:rPr>
        <w:t xml:space="preserve">Universitas Islam Negeri </w:t>
      </w:r>
      <w:proofErr w:type="spellStart"/>
      <w:r w:rsidRPr="00EF56CC">
        <w:rPr>
          <w:rFonts w:ascii="Palatino Linotype" w:hAnsi="Palatino Linotype"/>
          <w:sz w:val="22"/>
          <w:szCs w:val="22"/>
        </w:rPr>
        <w:t>Sulthan</w:t>
      </w:r>
      <w:proofErr w:type="spellEnd"/>
      <w:r w:rsidRPr="00EF56CC">
        <w:rPr>
          <w:rFonts w:ascii="Palatino Linotype" w:hAnsi="Palatino Linotype"/>
          <w:sz w:val="22"/>
          <w:szCs w:val="22"/>
        </w:rPr>
        <w:t xml:space="preserve"> </w:t>
      </w:r>
      <w:proofErr w:type="spellStart"/>
      <w:r w:rsidRPr="00EF56CC">
        <w:rPr>
          <w:rFonts w:ascii="Palatino Linotype" w:hAnsi="Palatino Linotype"/>
          <w:sz w:val="22"/>
          <w:szCs w:val="22"/>
        </w:rPr>
        <w:t>Thaha</w:t>
      </w:r>
      <w:proofErr w:type="spellEnd"/>
      <w:r w:rsidRPr="00EF56CC">
        <w:rPr>
          <w:rFonts w:ascii="Palatino Linotype" w:hAnsi="Palatino Linotype"/>
          <w:sz w:val="22"/>
          <w:szCs w:val="22"/>
        </w:rPr>
        <w:t xml:space="preserve"> Saifuddin Jambi; Indonesia</w:t>
      </w:r>
    </w:p>
    <w:p w14:paraId="15A18395" w14:textId="22A5B768" w:rsidR="00EF56CC" w:rsidRPr="00895936" w:rsidRDefault="00EF56CC" w:rsidP="00895936">
      <w:pPr>
        <w:spacing w:line="240" w:lineRule="auto"/>
        <w:contextualSpacing/>
        <w:jc w:val="right"/>
        <w:rPr>
          <w:rFonts w:ascii="Palatino Linotype" w:hAnsi="Palatino Linotype"/>
          <w:sz w:val="22"/>
          <w:szCs w:val="22"/>
        </w:rPr>
      </w:pPr>
      <w:r>
        <w:rPr>
          <w:rFonts w:ascii="Palatino Linotype" w:hAnsi="Palatino Linotype"/>
          <w:sz w:val="22"/>
          <w:szCs w:val="22"/>
        </w:rPr>
        <w:t xml:space="preserve">Correspondence Email; </w:t>
      </w:r>
      <w:r w:rsidR="00895936" w:rsidRPr="00895936">
        <w:rPr>
          <w:rFonts w:ascii="Palatino Linotype" w:hAnsi="Palatino Linotype"/>
          <w:sz w:val="22"/>
          <w:szCs w:val="22"/>
        </w:rPr>
        <w:t>hafizhahikmah@gmail.com</w:t>
      </w:r>
    </w:p>
    <w:p w14:paraId="1BF4E1CE" w14:textId="77777777" w:rsidR="00A27839" w:rsidRPr="00EF56CC" w:rsidRDefault="00A27839" w:rsidP="00895936">
      <w:pPr>
        <w:spacing w:line="240" w:lineRule="auto"/>
        <w:contextualSpacing/>
        <w:jc w:val="both"/>
        <w:rPr>
          <w:rFonts w:ascii="Palatino Linotype" w:hAnsi="Palatino Linotype"/>
          <w:sz w:val="22"/>
          <w:szCs w:val="22"/>
          <w:vertAlign w:val="superscript"/>
          <w:lang w:val="en-US"/>
        </w:rPr>
      </w:pPr>
      <w:r w:rsidRPr="00EF56CC">
        <w:rPr>
          <w:rFonts w:ascii="Palatino Linotype" w:hAnsi="Palatino Linotype"/>
          <w:sz w:val="22"/>
          <w:szCs w:val="22"/>
          <w:vertAlign w:val="superscript"/>
          <w:lang w:val="en-US"/>
        </w:rPr>
        <w:tab/>
      </w:r>
      <w:r w:rsidRPr="00EF56CC">
        <w:rPr>
          <w:rFonts w:ascii="Palatino Linotype" w:hAnsi="Palatino Linotype"/>
          <w:sz w:val="22"/>
          <w:szCs w:val="22"/>
          <w:vertAlign w:val="superscript"/>
          <w:lang w:val="en-US"/>
        </w:rPr>
        <w:tab/>
      </w:r>
      <w:r w:rsidRPr="00EF56CC">
        <w:rPr>
          <w:rFonts w:ascii="Palatino Linotype" w:hAnsi="Palatino Linotype"/>
          <w:sz w:val="22"/>
          <w:szCs w:val="22"/>
          <w:vertAlign w:val="superscript"/>
          <w:lang w:val="en-US"/>
        </w:rPr>
        <w:tab/>
      </w:r>
      <w:r w:rsidRPr="00EF56CC">
        <w:rPr>
          <w:rFonts w:ascii="Palatino Linotype" w:hAnsi="Palatino Linotype"/>
          <w:sz w:val="22"/>
          <w:szCs w:val="22"/>
          <w:vertAlign w:val="superscript"/>
          <w:lang w:val="en-US"/>
        </w:rPr>
        <w:tab/>
      </w:r>
      <w:r w:rsidRPr="00EF56CC">
        <w:rPr>
          <w:rFonts w:ascii="Palatino Linotype" w:hAnsi="Palatino Linotype"/>
          <w:sz w:val="22"/>
          <w:szCs w:val="22"/>
          <w:vertAlign w:val="superscript"/>
          <w:lang w:val="en-US"/>
        </w:rPr>
        <w:tab/>
      </w:r>
      <w:r w:rsidRPr="00EF56CC">
        <w:rPr>
          <w:rFonts w:ascii="Palatino Linotype" w:hAnsi="Palatino Linotype"/>
          <w:sz w:val="22"/>
          <w:szCs w:val="22"/>
          <w:vertAlign w:val="superscript"/>
          <w:lang w:val="en-US"/>
        </w:rPr>
        <w:tab/>
      </w:r>
      <w:r w:rsidRPr="00EF56CC">
        <w:rPr>
          <w:rFonts w:ascii="Palatino Linotype" w:hAnsi="Palatino Linotype"/>
          <w:sz w:val="22"/>
          <w:szCs w:val="22"/>
          <w:vertAlign w:val="superscript"/>
          <w:lang w:val="en-US"/>
        </w:rPr>
        <w:tab/>
      </w:r>
      <w:r w:rsidRPr="00EF56CC">
        <w:rPr>
          <w:rFonts w:ascii="Palatino Linotype" w:hAnsi="Palatino Linotype"/>
          <w:sz w:val="22"/>
          <w:szCs w:val="22"/>
          <w:vertAlign w:val="superscript"/>
          <w:lang w:val="en-US"/>
        </w:rPr>
        <w:tab/>
      </w:r>
      <w:r w:rsidRPr="00EF56CC">
        <w:rPr>
          <w:rFonts w:ascii="Palatino Linotype" w:hAnsi="Palatino Linotype"/>
          <w:sz w:val="22"/>
          <w:szCs w:val="22"/>
          <w:vertAlign w:val="superscript"/>
          <w:lang w:val="en-US"/>
        </w:rPr>
        <w:tab/>
      </w:r>
    </w:p>
    <w:p w14:paraId="1C875C47" w14:textId="77777777" w:rsidR="00A27839" w:rsidRDefault="00A27839" w:rsidP="00895936">
      <w:pPr>
        <w:spacing w:line="240" w:lineRule="auto"/>
        <w:contextualSpacing/>
        <w:jc w:val="both"/>
        <w:rPr>
          <w:rFonts w:ascii="Palatino Linotype" w:hAnsi="Palatino Linotype"/>
          <w:vertAlign w:val="superscript"/>
          <w:lang w:val="en-US"/>
        </w:rP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424"/>
        <w:gridCol w:w="2538"/>
        <w:gridCol w:w="2423"/>
      </w:tblGrid>
      <w:tr w:rsidR="00A27839" w:rsidRPr="00EB2B46" w14:paraId="4A5A58E2" w14:textId="77777777" w:rsidTr="009F2F7A">
        <w:tc>
          <w:tcPr>
            <w:tcW w:w="2254" w:type="dxa"/>
          </w:tcPr>
          <w:p w14:paraId="0FEBCB5D" w14:textId="18EA994F" w:rsidR="00A27839" w:rsidRPr="00EB2B46" w:rsidRDefault="00A27839" w:rsidP="00895936">
            <w:pPr>
              <w:spacing w:line="240" w:lineRule="auto"/>
              <w:contextualSpacing/>
              <w:jc w:val="center"/>
              <w:rPr>
                <w:rFonts w:ascii="Palatino Linotype" w:hAnsi="Palatino Linotype"/>
                <w:sz w:val="20"/>
                <w:lang w:val="en-US"/>
              </w:rPr>
            </w:pPr>
            <w:r w:rsidRPr="00EB2B46">
              <w:rPr>
                <w:rFonts w:ascii="Palatino Linotype" w:hAnsi="Palatino Linotype"/>
                <w:sz w:val="20"/>
                <w:lang w:val="en-US"/>
              </w:rPr>
              <w:t>Submitted</w:t>
            </w:r>
            <w:r>
              <w:rPr>
                <w:rFonts w:ascii="Palatino Linotype" w:hAnsi="Palatino Linotype"/>
                <w:sz w:val="20"/>
                <w:lang w:val="en-US"/>
              </w:rPr>
              <w:t>:</w:t>
            </w:r>
            <w:r w:rsidR="00396903">
              <w:rPr>
                <w:rFonts w:ascii="Palatino Linotype" w:hAnsi="Palatino Linotype"/>
                <w:sz w:val="20"/>
                <w:lang w:val="en-US"/>
              </w:rPr>
              <w:t xml:space="preserve"> </w:t>
            </w:r>
            <w:r w:rsidR="00895936">
              <w:rPr>
                <w:rFonts w:ascii="Palatino Linotype" w:hAnsi="Palatino Linotype"/>
                <w:sz w:val="20"/>
                <w:lang w:val="en-US"/>
              </w:rPr>
              <w:t>02/04</w:t>
            </w:r>
            <w:r w:rsidR="00396903">
              <w:rPr>
                <w:rFonts w:ascii="Palatino Linotype" w:hAnsi="Palatino Linotype"/>
                <w:sz w:val="20"/>
                <w:lang w:val="en-US"/>
              </w:rPr>
              <w:t>/2025</w:t>
            </w:r>
          </w:p>
        </w:tc>
        <w:tc>
          <w:tcPr>
            <w:tcW w:w="2424" w:type="dxa"/>
          </w:tcPr>
          <w:p w14:paraId="63E571C5" w14:textId="39801DDE" w:rsidR="00A27839" w:rsidRPr="00EB2B46" w:rsidRDefault="00A27839" w:rsidP="00895936">
            <w:pPr>
              <w:spacing w:line="240" w:lineRule="auto"/>
              <w:contextualSpacing/>
              <w:jc w:val="center"/>
              <w:rPr>
                <w:rFonts w:ascii="Palatino Linotype" w:hAnsi="Palatino Linotype"/>
                <w:sz w:val="20"/>
                <w:lang w:val="en-US"/>
              </w:rPr>
            </w:pPr>
            <w:r w:rsidRPr="00EB2B46">
              <w:rPr>
                <w:rFonts w:ascii="Palatino Linotype" w:hAnsi="Palatino Linotype"/>
                <w:sz w:val="20"/>
                <w:lang w:val="en-US"/>
              </w:rPr>
              <w:t>Revised:</w:t>
            </w:r>
            <w:r w:rsidR="00895936">
              <w:rPr>
                <w:rFonts w:ascii="Palatino Linotype" w:hAnsi="Palatino Linotype"/>
                <w:sz w:val="20"/>
                <w:lang w:val="en-US"/>
              </w:rPr>
              <w:t xml:space="preserve"> 11/06/2025</w:t>
            </w:r>
          </w:p>
        </w:tc>
        <w:tc>
          <w:tcPr>
            <w:tcW w:w="2538" w:type="dxa"/>
          </w:tcPr>
          <w:p w14:paraId="744A7B3D" w14:textId="31BCFAD4" w:rsidR="00A27839" w:rsidRPr="00EB2B46" w:rsidRDefault="00CA5331" w:rsidP="00895936">
            <w:pPr>
              <w:spacing w:line="240" w:lineRule="auto"/>
              <w:contextualSpacing/>
              <w:jc w:val="center"/>
              <w:rPr>
                <w:rFonts w:ascii="Palatino Linotype" w:hAnsi="Palatino Linotype"/>
                <w:sz w:val="20"/>
                <w:lang w:val="en-US"/>
              </w:rPr>
            </w:pPr>
            <w:r w:rsidRPr="00EB2B46">
              <w:rPr>
                <w:rFonts w:ascii="Palatino Linotype" w:hAnsi="Palatino Linotype"/>
                <w:sz w:val="20"/>
                <w:lang w:val="en-US"/>
              </w:rPr>
              <w:t>Accepted</w:t>
            </w:r>
            <w:r w:rsidR="00A27839" w:rsidRPr="00EB2B46">
              <w:rPr>
                <w:rFonts w:ascii="Palatino Linotype" w:hAnsi="Palatino Linotype"/>
                <w:sz w:val="20"/>
                <w:lang w:val="en-US"/>
              </w:rPr>
              <w:t>:</w:t>
            </w:r>
            <w:r w:rsidR="00895936">
              <w:rPr>
                <w:rFonts w:ascii="Palatino Linotype" w:hAnsi="Palatino Linotype"/>
                <w:sz w:val="20"/>
                <w:lang w:val="en-US"/>
              </w:rPr>
              <w:t xml:space="preserve"> 22/08/2025</w:t>
            </w:r>
          </w:p>
        </w:tc>
        <w:tc>
          <w:tcPr>
            <w:tcW w:w="2423" w:type="dxa"/>
          </w:tcPr>
          <w:p w14:paraId="6866C9D8" w14:textId="5AE0EA92" w:rsidR="00A27839" w:rsidRPr="00EB2B46" w:rsidRDefault="00A27839" w:rsidP="00895936">
            <w:pPr>
              <w:spacing w:line="240" w:lineRule="auto"/>
              <w:contextualSpacing/>
              <w:jc w:val="center"/>
              <w:rPr>
                <w:rFonts w:ascii="Palatino Linotype" w:hAnsi="Palatino Linotype"/>
                <w:sz w:val="20"/>
                <w:lang w:val="en-US"/>
              </w:rPr>
            </w:pPr>
            <w:r w:rsidRPr="00EB2B46">
              <w:rPr>
                <w:rFonts w:ascii="Palatino Linotype" w:hAnsi="Palatino Linotype"/>
                <w:sz w:val="20"/>
                <w:lang w:val="en-US"/>
              </w:rPr>
              <w:t>Published</w:t>
            </w:r>
            <w:r>
              <w:rPr>
                <w:rFonts w:ascii="Palatino Linotype" w:hAnsi="Palatino Linotype"/>
                <w:sz w:val="20"/>
                <w:lang w:val="en-US"/>
              </w:rPr>
              <w:t>:</w:t>
            </w:r>
            <w:r w:rsidR="00895936">
              <w:rPr>
                <w:rFonts w:ascii="Palatino Linotype" w:hAnsi="Palatino Linotype"/>
                <w:sz w:val="20"/>
                <w:lang w:val="en-US"/>
              </w:rPr>
              <w:t xml:space="preserve"> 30/08/2025</w:t>
            </w:r>
          </w:p>
        </w:tc>
      </w:tr>
    </w:tbl>
    <w:p w14:paraId="0710A1C8" w14:textId="77777777" w:rsidR="00A27839" w:rsidRDefault="00A27839" w:rsidP="00A27839">
      <w:pPr>
        <w:pStyle w:val="Header"/>
        <w:rPr>
          <w:rFonts w:ascii="Palatino Linotype" w:hAnsi="Palatino Linotype"/>
        </w:rPr>
      </w:pPr>
    </w:p>
    <w:tbl>
      <w:tblPr>
        <w:tblStyle w:val="PlainTable2"/>
        <w:tblW w:w="0" w:type="auto"/>
        <w:jc w:val="center"/>
        <w:tblLook w:val="04A0" w:firstRow="1" w:lastRow="0" w:firstColumn="1" w:lastColumn="0" w:noHBand="0" w:noVBand="1"/>
      </w:tblPr>
      <w:tblGrid>
        <w:gridCol w:w="2122"/>
        <w:gridCol w:w="7506"/>
      </w:tblGrid>
      <w:tr w:rsidR="00A27839" w:rsidRPr="00217A29" w14:paraId="6B07147D" w14:textId="77777777" w:rsidTr="00CB37F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tcPr>
          <w:p w14:paraId="241B3AAB" w14:textId="77777777" w:rsidR="00A27839" w:rsidRPr="00217A29" w:rsidRDefault="00A27839" w:rsidP="00CB37F4">
            <w:pPr>
              <w:pStyle w:val="Header"/>
              <w:spacing w:after="0" w:line="240" w:lineRule="auto"/>
              <w:contextualSpacing/>
              <w:rPr>
                <w:rFonts w:ascii="Palatino Linotype" w:hAnsi="Palatino Linotype"/>
                <w:b w:val="0"/>
                <w:bCs w:val="0"/>
                <w:sz w:val="20"/>
              </w:rPr>
            </w:pPr>
            <w:r w:rsidRPr="00217A29">
              <w:rPr>
                <w:rFonts w:ascii="Palatino Linotype" w:hAnsi="Palatino Linotype"/>
                <w:sz w:val="20"/>
              </w:rPr>
              <w:t>Abstract</w:t>
            </w:r>
          </w:p>
          <w:p w14:paraId="43A670C3" w14:textId="77777777" w:rsidR="00A27839" w:rsidRPr="00217A29" w:rsidRDefault="00A27839" w:rsidP="00CB37F4">
            <w:pPr>
              <w:pStyle w:val="Header"/>
              <w:spacing w:after="0" w:line="240" w:lineRule="auto"/>
              <w:contextualSpacing/>
              <w:rPr>
                <w:rFonts w:ascii="Palatino Linotype" w:hAnsi="Palatino Linotype"/>
                <w:b w:val="0"/>
                <w:bCs w:val="0"/>
                <w:sz w:val="20"/>
              </w:rPr>
            </w:pPr>
          </w:p>
          <w:p w14:paraId="6340BCFC" w14:textId="77777777" w:rsidR="00A27839" w:rsidRPr="00217A29" w:rsidRDefault="00A27839" w:rsidP="00CB37F4">
            <w:pPr>
              <w:pStyle w:val="Header"/>
              <w:spacing w:after="0" w:line="240" w:lineRule="auto"/>
              <w:contextualSpacing/>
              <w:rPr>
                <w:rFonts w:ascii="Palatino Linotype" w:hAnsi="Palatino Linotype"/>
                <w:b w:val="0"/>
                <w:bCs w:val="0"/>
                <w:sz w:val="20"/>
              </w:rPr>
            </w:pPr>
          </w:p>
          <w:p w14:paraId="459EE8B6" w14:textId="77777777" w:rsidR="00A27839" w:rsidRPr="00217A29" w:rsidRDefault="00A27839" w:rsidP="00CB37F4">
            <w:pPr>
              <w:pStyle w:val="Header"/>
              <w:spacing w:after="0" w:line="240" w:lineRule="auto"/>
              <w:contextualSpacing/>
              <w:rPr>
                <w:rFonts w:ascii="Palatino Linotype" w:hAnsi="Palatino Linotype"/>
                <w:b w:val="0"/>
                <w:bCs w:val="0"/>
                <w:sz w:val="20"/>
              </w:rPr>
            </w:pPr>
          </w:p>
          <w:p w14:paraId="7C526DCC" w14:textId="77777777" w:rsidR="00A27839" w:rsidRPr="00217A29" w:rsidRDefault="00A27839" w:rsidP="00CB37F4">
            <w:pPr>
              <w:pStyle w:val="Header"/>
              <w:spacing w:after="0" w:line="240" w:lineRule="auto"/>
              <w:contextualSpacing/>
              <w:rPr>
                <w:rFonts w:ascii="Palatino Linotype" w:hAnsi="Palatino Linotype"/>
                <w:sz w:val="20"/>
              </w:rPr>
            </w:pPr>
          </w:p>
        </w:tc>
        <w:tc>
          <w:tcPr>
            <w:tcW w:w="7506" w:type="dxa"/>
          </w:tcPr>
          <w:p w14:paraId="68644DBC" w14:textId="315B45CE" w:rsidR="00A27839" w:rsidRPr="008D07DE" w:rsidRDefault="0070066B" w:rsidP="00CB37F4">
            <w:pPr>
              <w:pStyle w:val="Header"/>
              <w:spacing w:after="0" w:line="240" w:lineRule="auto"/>
              <w:contextualSpacing/>
              <w:jc w:val="both"/>
              <w:cnfStyle w:val="100000000000" w:firstRow="1" w:lastRow="0" w:firstColumn="0" w:lastColumn="0" w:oddVBand="0" w:evenVBand="0" w:oddHBand="0" w:evenHBand="0" w:firstRowFirstColumn="0" w:firstRowLastColumn="0" w:lastRowFirstColumn="0" w:lastRowLastColumn="0"/>
              <w:rPr>
                <w:rFonts w:ascii="Palatino Linotype" w:hAnsi="Palatino Linotype"/>
                <w:b w:val="0"/>
                <w:bCs w:val="0"/>
                <w:sz w:val="20"/>
                <w:lang w:val="en-ID"/>
              </w:rPr>
            </w:pPr>
            <w:r w:rsidRPr="0070066B">
              <w:rPr>
                <w:rFonts w:ascii="Palatino Linotype" w:hAnsi="Palatino Linotype"/>
                <w:b w:val="0"/>
                <w:bCs w:val="0"/>
                <w:sz w:val="20"/>
                <w:lang w:val="en-ID"/>
              </w:rPr>
              <w:t>This study aimed to examine classroom worksheet use, manifestations of students’ independent learning, and supporting and inhibiting factors in eighth-grade Al-Qur’an and Hadith lessons at MTsN 5 Kota Jambi. A descriptive qualitative design was employed, involving one teacher, ten students, and one vice principal for curriculum selected purposively. Data were collected through observations, semi-structured interviews, and document review, then analyzed through data condensation, data display, and conclusion drawing and verification. Credibility was strengthened through source and technique triangulation. The findings showed that worksheets supplemented teacher explanations through reading, exercises, and lesson review. Independent learning was evident in task initiation, responsibility, time management, confidence, and attempts to solve problems before seeking assistance, although these behaviors varied among students. Some students continued to wait for explanations, require reminders, or hesitate when answering independently. Supporting factors included worksheet availability, clear instructions, teacher guidance, willingness to learn, and a conducive classroom atmosphere. Inhibiting factors included differences in understanding, limited confidence, reliance on instructions, and mismatches between worksheet content and questions. The study concludes that worksheets provide opportunities for independent learning through the interaction of material quality, teacher facilitation, student readiness, and classroom conditions. The findings identify practices that support independence rather than establish improvement over time.</w:t>
            </w:r>
          </w:p>
        </w:tc>
      </w:tr>
      <w:tr w:rsidR="00A27839" w:rsidRPr="00217A29" w14:paraId="7E74B8F0" w14:textId="77777777" w:rsidTr="00CB37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tcPr>
          <w:p w14:paraId="09A9EE88" w14:textId="144993AB" w:rsidR="00A27839" w:rsidRPr="00217A29" w:rsidRDefault="00A27839" w:rsidP="00CB37F4">
            <w:pPr>
              <w:pStyle w:val="Header"/>
              <w:spacing w:after="0" w:line="240" w:lineRule="auto"/>
              <w:contextualSpacing/>
              <w:rPr>
                <w:rFonts w:ascii="Palatino Linotype" w:hAnsi="Palatino Linotype"/>
                <w:sz w:val="20"/>
              </w:rPr>
            </w:pPr>
            <w:r w:rsidRPr="00217A29">
              <w:rPr>
                <w:rFonts w:ascii="Palatino Linotype" w:hAnsi="Palatino Linotype"/>
                <w:sz w:val="20"/>
              </w:rPr>
              <w:t>Keywords</w:t>
            </w:r>
          </w:p>
        </w:tc>
        <w:tc>
          <w:tcPr>
            <w:tcW w:w="7506" w:type="dxa"/>
          </w:tcPr>
          <w:p w14:paraId="57309944" w14:textId="52CED997" w:rsidR="00A27839" w:rsidRPr="005F40F2" w:rsidRDefault="0070066B" w:rsidP="00CB37F4">
            <w:pPr>
              <w:pStyle w:val="Header"/>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Palatino Linotype" w:hAnsi="Palatino Linotype"/>
                <w:sz w:val="20"/>
              </w:rPr>
            </w:pPr>
            <w:r w:rsidRPr="0070066B">
              <w:rPr>
                <w:rFonts w:ascii="Palatino Linotype" w:hAnsi="Palatino Linotype"/>
                <w:sz w:val="20"/>
                <w:lang w:val="en-GB"/>
              </w:rPr>
              <w:t>Independent learning; Madrasah education; Qualitative research; Student worksheets; Teacher facilitation</w:t>
            </w:r>
            <w:r w:rsidR="00D06F64">
              <w:rPr>
                <w:rFonts w:ascii="Palatino Linotype" w:hAnsi="Palatino Linotype"/>
                <w:sz w:val="20"/>
              </w:rPr>
              <w:t>.</w:t>
            </w:r>
          </w:p>
        </w:tc>
      </w:tr>
    </w:tbl>
    <w:p w14:paraId="61ADDC20" w14:textId="4EED5668" w:rsidR="00A27839" w:rsidRDefault="00A27839" w:rsidP="00A27839">
      <w:pPr>
        <w:pStyle w:val="Header"/>
        <w:tabs>
          <w:tab w:val="left" w:pos="2460"/>
        </w:tabs>
        <w:rPr>
          <w:rFonts w:ascii="Palatino Linotype" w:hAnsi="Palatino Linotype"/>
        </w:rPr>
      </w:pPr>
      <w:r>
        <w:rPr>
          <w:rFonts w:ascii="Palatino Linotype" w:hAnsi="Palatino Linotype"/>
        </w:rPr>
        <w:tab/>
      </w:r>
    </w:p>
    <w:tbl>
      <w:tblPr>
        <w:tblStyle w:val="TableGrid2"/>
        <w:tblW w:w="963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7512"/>
      </w:tblGrid>
      <w:tr w:rsidR="00A27839" w14:paraId="5D1B04AF" w14:textId="77777777" w:rsidTr="00B93A62">
        <w:trPr>
          <w:trHeight w:val="753"/>
        </w:trPr>
        <w:tc>
          <w:tcPr>
            <w:tcW w:w="2127" w:type="dxa"/>
            <w:hideMark/>
          </w:tcPr>
          <w:p w14:paraId="65E2980E" w14:textId="0218B6B1" w:rsidR="00A27839" w:rsidRDefault="00283A5F" w:rsidP="009F2F7A">
            <w:pPr>
              <w:spacing w:line="256" w:lineRule="auto"/>
              <w:contextualSpacing/>
              <w:rPr>
                <w:rFonts w:ascii="Book Antiqua" w:eastAsia="Book Antiqua" w:hAnsi="Book Antiqua" w:cs="Book Antiqua"/>
                <w:sz w:val="32"/>
                <w:szCs w:val="32"/>
              </w:rPr>
            </w:pPr>
            <w:r>
              <w:rPr>
                <w:noProof/>
              </w:rPr>
              <w:drawing>
                <wp:anchor distT="0" distB="0" distL="114300" distR="114300" simplePos="0" relativeHeight="251659264" behindDoc="0" locked="0" layoutInCell="1" allowOverlap="1" wp14:anchorId="708F9CC4" wp14:editId="5981F51A">
                  <wp:simplePos x="0" y="0"/>
                  <wp:positionH relativeFrom="page">
                    <wp:posOffset>60960</wp:posOffset>
                  </wp:positionH>
                  <wp:positionV relativeFrom="paragraph">
                    <wp:posOffset>17145</wp:posOffset>
                  </wp:positionV>
                  <wp:extent cx="855345" cy="304800"/>
                  <wp:effectExtent l="0" t="0" r="190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bar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5345" cy="304800"/>
                          </a:xfrm>
                          <a:prstGeom prst="rect">
                            <a:avLst/>
                          </a:prstGeom>
                          <a:noFill/>
                        </pic:spPr>
                      </pic:pic>
                    </a:graphicData>
                  </a:graphic>
                  <wp14:sizeRelH relativeFrom="page">
                    <wp14:pctWidth>0</wp14:pctWidth>
                  </wp14:sizeRelH>
                  <wp14:sizeRelV relativeFrom="page">
                    <wp14:pctHeight>0</wp14:pctHeight>
                  </wp14:sizeRelV>
                </wp:anchor>
              </w:drawing>
            </w:r>
          </w:p>
        </w:tc>
        <w:tc>
          <w:tcPr>
            <w:tcW w:w="7512" w:type="dxa"/>
            <w:hideMark/>
          </w:tcPr>
          <w:p w14:paraId="40F04886" w14:textId="1B6A828C" w:rsidR="00A27839" w:rsidRDefault="00A27839" w:rsidP="009F2F7A">
            <w:pPr>
              <w:ind w:right="114"/>
              <w:jc w:val="both"/>
              <w:rPr>
                <w:rFonts w:ascii="Cambria" w:hAnsi="Cambria" w:cs="Calibri"/>
                <w:spacing w:val="-1"/>
              </w:rPr>
            </w:pPr>
            <w:r w:rsidRPr="00E45854">
              <w:rPr>
                <w:rFonts w:ascii="Palatino Linotype" w:hAnsi="Palatino Linotype" w:cs="Calibri"/>
                <w:sz w:val="18"/>
                <w:szCs w:val="18"/>
              </w:rPr>
              <w:t>©</w:t>
            </w:r>
            <w:r w:rsidR="00643683">
              <w:rPr>
                <w:rFonts w:ascii="Palatino Linotype" w:hAnsi="Palatino Linotype" w:cs="Calibri"/>
                <w:b/>
                <w:spacing w:val="-1"/>
                <w:sz w:val="18"/>
                <w:szCs w:val="18"/>
              </w:rPr>
              <w:t xml:space="preserve"> 2025 </w:t>
            </w:r>
            <w:r w:rsidRPr="00E45854">
              <w:rPr>
                <w:rFonts w:ascii="Palatino Linotype" w:hAnsi="Palatino Linotype" w:cs="Calibri"/>
                <w:b/>
                <w:spacing w:val="-1"/>
                <w:sz w:val="18"/>
                <w:szCs w:val="18"/>
              </w:rPr>
              <w:t xml:space="preserve">by </w:t>
            </w:r>
            <w:r w:rsidRPr="00E45854">
              <w:rPr>
                <w:rFonts w:ascii="Palatino Linotype" w:hAnsi="Palatino Linotype" w:cs="Calibri"/>
                <w:b/>
                <w:sz w:val="18"/>
                <w:szCs w:val="18"/>
              </w:rPr>
              <w:t>the authors</w:t>
            </w:r>
            <w:r w:rsidRPr="00E45854">
              <w:rPr>
                <w:rFonts w:ascii="Palatino Linotype" w:hAnsi="Palatino Linotype" w:cs="Calibri"/>
                <w:sz w:val="18"/>
                <w:szCs w:val="18"/>
              </w:rPr>
              <w:t xml:space="preserve">. </w:t>
            </w:r>
            <w:r w:rsidRPr="00E45854">
              <w:rPr>
                <w:rFonts w:ascii="Palatino Linotype" w:hAnsi="Palatino Linotype" w:cs="Calibri"/>
                <w:spacing w:val="-1"/>
                <w:sz w:val="18"/>
                <w:szCs w:val="18"/>
              </w:rPr>
              <w:t xml:space="preserve">Submitted for possible open-access publication </w:t>
            </w:r>
            <w:r w:rsidRPr="00E45854">
              <w:rPr>
                <w:rFonts w:ascii="Palatino Linotype" w:hAnsi="Palatino Linotype" w:cs="Calibri"/>
                <w:sz w:val="18"/>
                <w:szCs w:val="18"/>
              </w:rPr>
              <w:t xml:space="preserve">under </w:t>
            </w:r>
            <w:r w:rsidRPr="00E45854">
              <w:rPr>
                <w:rFonts w:ascii="Palatino Linotype" w:hAnsi="Palatino Linotype" w:cs="Calibri"/>
                <w:spacing w:val="-1"/>
                <w:sz w:val="18"/>
                <w:szCs w:val="18"/>
              </w:rPr>
              <w:t xml:space="preserve">the terms and conditions of </w:t>
            </w:r>
            <w:r w:rsidR="00BD404C">
              <w:rPr>
                <w:rFonts w:ascii="Palatino Linotype" w:hAnsi="Palatino Linotype" w:cs="Calibri"/>
                <w:spacing w:val="-1"/>
                <w:sz w:val="18"/>
                <w:szCs w:val="18"/>
              </w:rPr>
              <w:t xml:space="preserve">the </w:t>
            </w:r>
            <w:r w:rsidRPr="00E45854">
              <w:rPr>
                <w:rFonts w:ascii="Palatino Linotype" w:hAnsi="Palatino Linotype" w:cs="Calibri"/>
                <w:spacing w:val="-1"/>
                <w:sz w:val="18"/>
                <w:szCs w:val="18"/>
              </w:rPr>
              <w:t>Creative Commons Attribution-</w:t>
            </w:r>
            <w:proofErr w:type="spellStart"/>
            <w:r w:rsidRPr="00E45854">
              <w:rPr>
                <w:rFonts w:ascii="Palatino Linotype" w:hAnsi="Palatino Linotype" w:cs="Calibri"/>
                <w:spacing w:val="-1"/>
                <w:sz w:val="18"/>
                <w:szCs w:val="18"/>
              </w:rPr>
              <w:t>NonCommercial</w:t>
            </w:r>
            <w:proofErr w:type="spellEnd"/>
            <w:r w:rsidRPr="00E45854">
              <w:rPr>
                <w:rFonts w:ascii="Palatino Linotype" w:hAnsi="Palatino Linotype" w:cs="Calibri"/>
                <w:sz w:val="18"/>
                <w:szCs w:val="18"/>
              </w:rPr>
              <w:t xml:space="preserve"> 4.0 </w:t>
            </w:r>
            <w:r w:rsidRPr="00E45854">
              <w:rPr>
                <w:rFonts w:ascii="Palatino Linotype" w:hAnsi="Palatino Linotype" w:cs="Calibri"/>
                <w:spacing w:val="-1"/>
                <w:sz w:val="18"/>
                <w:szCs w:val="18"/>
              </w:rPr>
              <w:t xml:space="preserve">International </w:t>
            </w:r>
            <w:r w:rsidR="00BD404C">
              <w:rPr>
                <w:rFonts w:ascii="Palatino Linotype" w:hAnsi="Palatino Linotype" w:cs="Calibri"/>
                <w:spacing w:val="-1"/>
                <w:sz w:val="18"/>
                <w:szCs w:val="18"/>
              </w:rPr>
              <w:t xml:space="preserve">License </w:t>
            </w:r>
            <w:r w:rsidRPr="00E45854">
              <w:rPr>
                <w:rFonts w:ascii="Palatino Linotype" w:hAnsi="Palatino Linotype" w:cs="Calibri"/>
                <w:sz w:val="18"/>
                <w:szCs w:val="18"/>
              </w:rPr>
              <w:t xml:space="preserve">(CC BY NC) </w:t>
            </w:r>
            <w:r w:rsidRPr="00E45854">
              <w:rPr>
                <w:rFonts w:ascii="Palatino Linotype" w:hAnsi="Palatino Linotype" w:cs="Calibri"/>
                <w:spacing w:val="-1"/>
                <w:sz w:val="18"/>
                <w:szCs w:val="18"/>
              </w:rPr>
              <w:t>(</w:t>
            </w:r>
            <w:hyperlink r:id="rId9" w:history="1">
              <w:r w:rsidRPr="00E45854">
                <w:rPr>
                  <w:rStyle w:val="Hyperlink"/>
                  <w:rFonts w:ascii="Palatino Linotype" w:hAnsi="Palatino Linotype" w:cs="Calibri"/>
                  <w:spacing w:val="-1"/>
                  <w:sz w:val="18"/>
                  <w:szCs w:val="18"/>
                </w:rPr>
                <w:t>https://creativecommons.org/licenses/by-nc/4.0/</w:t>
              </w:r>
            </w:hyperlink>
            <w:r w:rsidRPr="00E45854">
              <w:rPr>
                <w:rFonts w:ascii="Palatino Linotype" w:hAnsi="Palatino Linotype" w:cs="Calibri"/>
                <w:spacing w:val="-1"/>
                <w:sz w:val="18"/>
                <w:szCs w:val="18"/>
              </w:rPr>
              <w:t>).</w:t>
            </w:r>
          </w:p>
        </w:tc>
      </w:tr>
    </w:tbl>
    <w:p w14:paraId="43DE07B9" w14:textId="37DB18E0" w:rsidR="00187B6B" w:rsidRDefault="00187B6B" w:rsidP="00302E97">
      <w:pPr>
        <w:widowControl/>
        <w:spacing w:line="240" w:lineRule="auto"/>
        <w:rPr>
          <w:rFonts w:ascii="Book Antiqua" w:hAnsi="Book Antiqua"/>
          <w:b/>
          <w:sz w:val="20"/>
          <w:lang w:val="id-ID"/>
        </w:rPr>
      </w:pPr>
    </w:p>
    <w:p w14:paraId="5B689B1D" w14:textId="77777777" w:rsidR="00CA5331" w:rsidRDefault="00CA5331" w:rsidP="00C4240F">
      <w:pPr>
        <w:spacing w:line="360" w:lineRule="auto"/>
        <w:contextualSpacing/>
        <w:jc w:val="both"/>
        <w:rPr>
          <w:rFonts w:ascii="Book Antiqua" w:hAnsi="Book Antiqua"/>
          <w:b/>
          <w:sz w:val="20"/>
          <w:lang w:val="id-ID"/>
        </w:rPr>
      </w:pPr>
    </w:p>
    <w:p w14:paraId="26DA9D8F" w14:textId="77777777" w:rsidR="00CA5331" w:rsidRDefault="00CA5331" w:rsidP="00C4240F">
      <w:pPr>
        <w:spacing w:line="360" w:lineRule="auto"/>
        <w:contextualSpacing/>
        <w:jc w:val="both"/>
        <w:rPr>
          <w:rFonts w:ascii="Book Antiqua" w:hAnsi="Book Antiqua"/>
          <w:b/>
          <w:sz w:val="20"/>
          <w:lang w:val="id-ID"/>
        </w:rPr>
      </w:pPr>
    </w:p>
    <w:p w14:paraId="4D228BB2" w14:textId="77777777" w:rsidR="008D07DE" w:rsidRDefault="008D07DE" w:rsidP="00C4240F">
      <w:pPr>
        <w:spacing w:line="360" w:lineRule="auto"/>
        <w:contextualSpacing/>
        <w:jc w:val="both"/>
        <w:rPr>
          <w:rFonts w:ascii="Palatino Linotype" w:hAnsi="Palatino Linotype"/>
          <w:b/>
          <w:sz w:val="22"/>
          <w:szCs w:val="22"/>
          <w:lang w:val="en-US"/>
        </w:rPr>
      </w:pPr>
    </w:p>
    <w:p w14:paraId="1A1B6EB0" w14:textId="77777777" w:rsidR="008D07DE" w:rsidRDefault="008D07DE" w:rsidP="00C4240F">
      <w:pPr>
        <w:spacing w:line="360" w:lineRule="auto"/>
        <w:contextualSpacing/>
        <w:jc w:val="both"/>
        <w:rPr>
          <w:rFonts w:ascii="Palatino Linotype" w:hAnsi="Palatino Linotype"/>
          <w:b/>
          <w:sz w:val="22"/>
          <w:szCs w:val="22"/>
          <w:lang w:val="en-US"/>
        </w:rPr>
      </w:pPr>
    </w:p>
    <w:p w14:paraId="181F0AD4" w14:textId="77777777" w:rsidR="008D07DE" w:rsidRDefault="008D07DE" w:rsidP="00C4240F">
      <w:pPr>
        <w:spacing w:line="360" w:lineRule="auto"/>
        <w:contextualSpacing/>
        <w:jc w:val="both"/>
        <w:rPr>
          <w:rFonts w:ascii="Palatino Linotype" w:hAnsi="Palatino Linotype"/>
          <w:b/>
          <w:sz w:val="22"/>
          <w:szCs w:val="22"/>
          <w:lang w:val="en-US"/>
        </w:rPr>
      </w:pPr>
    </w:p>
    <w:p w14:paraId="6537012D" w14:textId="77777777" w:rsidR="008D07DE" w:rsidRDefault="008D07DE" w:rsidP="00C4240F">
      <w:pPr>
        <w:spacing w:line="360" w:lineRule="auto"/>
        <w:contextualSpacing/>
        <w:jc w:val="both"/>
        <w:rPr>
          <w:rFonts w:ascii="Palatino Linotype" w:hAnsi="Palatino Linotype"/>
          <w:b/>
          <w:sz w:val="22"/>
          <w:szCs w:val="22"/>
          <w:lang w:val="en-US"/>
        </w:rPr>
      </w:pPr>
    </w:p>
    <w:p w14:paraId="2F3E66A0" w14:textId="77777777" w:rsidR="008D07DE" w:rsidRDefault="008D07DE" w:rsidP="00C4240F">
      <w:pPr>
        <w:spacing w:line="360" w:lineRule="auto"/>
        <w:contextualSpacing/>
        <w:jc w:val="both"/>
        <w:rPr>
          <w:rFonts w:ascii="Palatino Linotype" w:hAnsi="Palatino Linotype"/>
          <w:b/>
          <w:sz w:val="22"/>
          <w:szCs w:val="22"/>
          <w:lang w:val="en-US"/>
        </w:rPr>
      </w:pPr>
    </w:p>
    <w:p w14:paraId="370476F3" w14:textId="77777777" w:rsidR="0070066B" w:rsidRDefault="0070066B" w:rsidP="00C4240F">
      <w:pPr>
        <w:spacing w:line="360" w:lineRule="auto"/>
        <w:contextualSpacing/>
        <w:jc w:val="both"/>
        <w:rPr>
          <w:rFonts w:ascii="Palatino Linotype" w:hAnsi="Palatino Linotype"/>
          <w:b/>
          <w:sz w:val="22"/>
          <w:szCs w:val="22"/>
          <w:lang w:val="en-US"/>
        </w:rPr>
      </w:pPr>
    </w:p>
    <w:p w14:paraId="74B5278C" w14:textId="0A350646" w:rsidR="00302E97" w:rsidRPr="008C1CF1" w:rsidRDefault="00302E97" w:rsidP="00C4240F">
      <w:pPr>
        <w:spacing w:line="360" w:lineRule="auto"/>
        <w:contextualSpacing/>
        <w:jc w:val="both"/>
        <w:rPr>
          <w:rFonts w:ascii="Palatino Linotype" w:hAnsi="Palatino Linotype"/>
          <w:b/>
          <w:sz w:val="22"/>
          <w:szCs w:val="22"/>
          <w:lang w:val="en-US"/>
        </w:rPr>
      </w:pPr>
      <w:r w:rsidRPr="008C1CF1">
        <w:rPr>
          <w:rFonts w:ascii="Palatino Linotype" w:hAnsi="Palatino Linotype"/>
          <w:b/>
          <w:sz w:val="22"/>
          <w:szCs w:val="22"/>
          <w:lang w:val="en-US"/>
        </w:rPr>
        <w:lastRenderedPageBreak/>
        <w:t>INTRODUCTION</w:t>
      </w:r>
    </w:p>
    <w:p w14:paraId="142008F8" w14:textId="17E18306" w:rsidR="008525DB" w:rsidRPr="008C1CF1" w:rsidRDefault="008525DB" w:rsidP="008525DB">
      <w:pPr>
        <w:spacing w:line="360" w:lineRule="auto"/>
        <w:ind w:firstLine="709"/>
        <w:contextualSpacing/>
        <w:jc w:val="both"/>
        <w:rPr>
          <w:rFonts w:ascii="Palatino Linotype" w:hAnsi="Palatino Linotype"/>
          <w:bCs/>
          <w:sz w:val="22"/>
          <w:szCs w:val="22"/>
          <w:lang w:val="en-ID"/>
        </w:rPr>
      </w:pPr>
      <w:r w:rsidRPr="008C1CF1">
        <w:rPr>
          <w:rFonts w:ascii="Palatino Linotype" w:hAnsi="Palatino Linotype"/>
          <w:bCs/>
          <w:sz w:val="22"/>
          <w:szCs w:val="22"/>
          <w:lang w:val="en-ID"/>
        </w:rPr>
        <w:t>Students’ independent learning involves taking initiative, managing learning activities, completing tasks responsibly, and responding to difficulties with appropriate guidance. In classroom practice, these abilities are reflected in students’ willingness to read instructions, begin assignments, organize their time, and attempt solutions before seeking assistance. Teachers support this process by providing clear directions, accessible learning materials, and opportunities for students to make decisions about their work</w:t>
      </w:r>
      <w:r w:rsidR="007B336A" w:rsidRPr="008C1CF1">
        <w:rPr>
          <w:rFonts w:ascii="Palatino Linotype" w:hAnsi="Palatino Linotype"/>
          <w:bCs/>
          <w:sz w:val="22"/>
          <w:szCs w:val="22"/>
          <w:lang w:val="en-ID"/>
        </w:rPr>
        <w:t xml:space="preserve"> </w:t>
      </w:r>
      <w:r w:rsidR="007B336A" w:rsidRPr="008C1CF1">
        <w:rPr>
          <w:rFonts w:ascii="Palatino Linotype" w:hAnsi="Palatino Linotype"/>
          <w:bCs/>
          <w:sz w:val="22"/>
          <w:szCs w:val="22"/>
          <w:lang w:val="en-ID"/>
        </w:rPr>
        <w:fldChar w:fldCharType="begin"/>
      </w:r>
      <w:r w:rsidR="007B336A" w:rsidRPr="008C1CF1">
        <w:rPr>
          <w:rFonts w:ascii="Palatino Linotype" w:hAnsi="Palatino Linotype"/>
          <w:bCs/>
          <w:sz w:val="22"/>
          <w:szCs w:val="22"/>
          <w:lang w:val="en-ID"/>
        </w:rPr>
        <w:instrText xml:space="preserve"> ADDIN ZOTERO_ITEM CSL_CITATION {"citationID":"AOdKlXH9","properties":{"unsorted":false,"formattedCitation":"(Rowe et al., 2018)","plainCitation":"(Rowe et al., 2018)","noteIndex":0},"citationItems":[{"id":3738,"uris":["http://zotero.org/users/local/XAaPoWI6/items/7IUDDNGN"],"itemData":{"id":3738,"type":"article-journal","abstract":"Although there are many transitions that occur in a young person’s life, transition from high school to adulthood can be one of the most challenging. This transition requires autonomy and decision-making skills. To support youth in having positive outcomes after high school, it is imperative for teachers to have strategies to guide students in making informed decisions as they begin the transition process. This article provides teachers with strategies and resources to help youth build autonomy, make informed decisions, and gain information via web-based resources to support the transition from high school into postschool life. Steps for building autonomy, evaluating web-based resources, and investigating web-based resources to support transition are included.","container-title":"Career Development and Transition for Exceptional Individuals","DOI":"10.1177/2165143417736266","ISSN":"2165-1434, 2165-1442","issue":"4","journalAbbreviation":"Career Development and Transition for Exceptional Individuals","language":"en","page":"252-259","source":"DOI.org (Crossref)","title":"Helping Students Make Informed Decisions About Transition Via Web-Based Resources","volume":"41","author":[{"family":"Rowe","given":"Dawn A."},{"family":"McNaught","given":"John"},{"family":"Yoho","given":"Louise M."},{"family":"Davis","given":"Mariya"},{"family":"Mazzotti","given":"Valerie L."}],"issued":{"date-parts":[["2018",11]]}}}],"schema":"https://github.com/citation-style-language/schema/raw/master/csl-citation.json"} </w:instrText>
      </w:r>
      <w:r w:rsidR="007B336A" w:rsidRPr="008C1CF1">
        <w:rPr>
          <w:rFonts w:ascii="Palatino Linotype" w:hAnsi="Palatino Linotype"/>
          <w:bCs/>
          <w:sz w:val="22"/>
          <w:szCs w:val="22"/>
          <w:lang w:val="en-ID"/>
        </w:rPr>
        <w:fldChar w:fldCharType="separate"/>
      </w:r>
      <w:r w:rsidR="007B336A" w:rsidRPr="008C1CF1">
        <w:rPr>
          <w:rFonts w:ascii="Palatino Linotype" w:hAnsi="Palatino Linotype"/>
          <w:bCs/>
          <w:noProof/>
          <w:sz w:val="22"/>
          <w:szCs w:val="22"/>
          <w:lang w:val="en-ID"/>
        </w:rPr>
        <w:t>(Rowe et al., 2018)</w:t>
      </w:r>
      <w:r w:rsidR="007B336A" w:rsidRPr="008C1CF1">
        <w:rPr>
          <w:rFonts w:ascii="Palatino Linotype" w:hAnsi="Palatino Linotype"/>
          <w:bCs/>
          <w:sz w:val="22"/>
          <w:szCs w:val="22"/>
          <w:lang w:val="en-ID"/>
        </w:rPr>
        <w:fldChar w:fldCharType="end"/>
      </w:r>
      <w:r w:rsidRPr="008C1CF1">
        <w:rPr>
          <w:rFonts w:ascii="Palatino Linotype" w:hAnsi="Palatino Linotype"/>
          <w:bCs/>
          <w:sz w:val="22"/>
          <w:szCs w:val="22"/>
          <w:lang w:val="en-ID"/>
        </w:rPr>
        <w:t>. Student Worksheets are one resource used to organize such activities because they combine lesson content, instructions, and exercises within a structured format</w:t>
      </w:r>
      <w:r w:rsidR="007B336A" w:rsidRPr="008C1CF1">
        <w:rPr>
          <w:rFonts w:ascii="Palatino Linotype" w:hAnsi="Palatino Linotype"/>
          <w:bCs/>
          <w:sz w:val="22"/>
          <w:szCs w:val="22"/>
          <w:lang w:val="en-ID"/>
        </w:rPr>
        <w:t xml:space="preserve"> </w:t>
      </w:r>
      <w:r w:rsidR="007B336A" w:rsidRPr="008C1CF1">
        <w:rPr>
          <w:rFonts w:ascii="Palatino Linotype" w:hAnsi="Palatino Linotype"/>
          <w:bCs/>
          <w:sz w:val="22"/>
          <w:szCs w:val="22"/>
          <w:lang w:val="en-ID"/>
        </w:rPr>
        <w:fldChar w:fldCharType="begin"/>
      </w:r>
      <w:r w:rsidR="007B336A" w:rsidRPr="008C1CF1">
        <w:rPr>
          <w:rFonts w:ascii="Palatino Linotype" w:hAnsi="Palatino Linotype"/>
          <w:bCs/>
          <w:sz w:val="22"/>
          <w:szCs w:val="22"/>
          <w:lang w:val="en-ID"/>
        </w:rPr>
        <w:instrText xml:space="preserve"> ADDIN ZOTERO_ITEM CSL_CITATION {"citationID":"IlaPBjxs","properties":{"unsorted":false,"formattedCitation":"(Fadillah et al., 2025)","plainCitation":"(Fadillah et al., 2025)","noteIndex":0},"citationItems":[{"id":3739,"uris":["http://zotero.org/users/local/XAaPoWI6/items/HL5H2QX9"],"itemData":{"id":3739,"type":"article-journal","abstract":"Science education is essential for developing students’ ability to understand and apply scientific concepts in real-world contexts. However, existing studies often examine teaching strategies, worksheet usage, and engagement in isolation, leaving a gap in understanding their interconnected dynamics. This study examines the relationships between teaching strategies, student worksheets, and student engagement in science education. Conducted in junior high schools in North Sumatra, Indonesia, with 51 participants aged 13–15, the research employed a survey method analyzed via multiple regression. Results show a strong link between teaching strategies and worksheet use. Contextualized teaching encourages worksheets for analyzing experimental data, while project-based approaches promote their use in collaborative tasks. Worksheets significantly enhance engagement by fostering participation, confidence, and problem-solving. They provide structure, deepen understanding, and strengthen critical thinking and collaboration. Aligning teaching strategies with well-designed worksheets creates a dynamic learning environment, improving engagement and outcomes. Educators and policymakers should prioritize integrative approaches and effective teaching aids to optimize learning.","container-title":"International Journal of Education, Information Technology, and Others","ISSN":"2654-2528","issue":"1","language":"en","license":"Copyright (c) 2025 International Journal of Education, Information Technology, and Others","page":"198-207","source":"jurnal.peneliti.net","title":"Assessment of Teaching Strategies, Utilization of Student Worksheets, and Student Engagement in Science Education","volume":"8","author":[{"family":"Fadillah","given":"Muhammad Aizri"},{"family":"Usmeldi","given":"Usmeldi"},{"family":"Festiyed","given":"Festiyed"},{"family":"Lufri","given":"Lufri"},{"family":"Mawardi","given":"Mawardi"}],"issued":{"date-parts":[["2025",1,19]]}}}],"schema":"https://github.com/citation-style-language/schema/raw/master/csl-citation.json"} </w:instrText>
      </w:r>
      <w:r w:rsidR="007B336A" w:rsidRPr="008C1CF1">
        <w:rPr>
          <w:rFonts w:ascii="Palatino Linotype" w:hAnsi="Palatino Linotype"/>
          <w:bCs/>
          <w:sz w:val="22"/>
          <w:szCs w:val="22"/>
          <w:lang w:val="en-ID"/>
        </w:rPr>
        <w:fldChar w:fldCharType="separate"/>
      </w:r>
      <w:r w:rsidR="007B336A" w:rsidRPr="008C1CF1">
        <w:rPr>
          <w:rFonts w:ascii="Palatino Linotype" w:hAnsi="Palatino Linotype"/>
          <w:bCs/>
          <w:noProof/>
          <w:sz w:val="22"/>
          <w:szCs w:val="22"/>
          <w:lang w:val="en-ID"/>
        </w:rPr>
        <w:t>(Fadillah et al., 2025)</w:t>
      </w:r>
      <w:r w:rsidR="007B336A" w:rsidRPr="008C1CF1">
        <w:rPr>
          <w:rFonts w:ascii="Palatino Linotype" w:hAnsi="Palatino Linotype"/>
          <w:bCs/>
          <w:sz w:val="22"/>
          <w:szCs w:val="22"/>
          <w:lang w:val="en-ID"/>
        </w:rPr>
        <w:fldChar w:fldCharType="end"/>
      </w:r>
      <w:r w:rsidRPr="008C1CF1">
        <w:rPr>
          <w:rFonts w:ascii="Palatino Linotype" w:hAnsi="Palatino Linotype"/>
          <w:bCs/>
          <w:sz w:val="22"/>
          <w:szCs w:val="22"/>
          <w:lang w:val="en-ID"/>
        </w:rPr>
        <w:t xml:space="preserve">. Through worksheet activities, students can consult information, check their understanding, and practice completing tasks </w:t>
      </w:r>
      <w:r w:rsidR="00B425DE" w:rsidRPr="008C1CF1">
        <w:rPr>
          <w:rFonts w:ascii="Palatino Linotype" w:hAnsi="Palatino Linotype"/>
          <w:bCs/>
          <w:sz w:val="22"/>
          <w:szCs w:val="22"/>
          <w:lang w:val="en-ID"/>
        </w:rPr>
        <w:t>independently</w:t>
      </w:r>
      <w:r w:rsidRPr="008C1CF1">
        <w:rPr>
          <w:rFonts w:ascii="Palatino Linotype" w:hAnsi="Palatino Linotype"/>
          <w:bCs/>
          <w:sz w:val="22"/>
          <w:szCs w:val="22"/>
          <w:lang w:val="en-ID"/>
        </w:rPr>
        <w:t>. However, the availability of worksheets does not necessarily mean that students use them independently. Their contribution to independent learning</w:t>
      </w:r>
      <w:r w:rsidR="006E7464" w:rsidRPr="008C1CF1">
        <w:rPr>
          <w:rFonts w:ascii="Palatino Linotype" w:hAnsi="Palatino Linotype"/>
          <w:bCs/>
          <w:sz w:val="22"/>
          <w:szCs w:val="22"/>
          <w:lang w:val="en-ID"/>
        </w:rPr>
        <w:t>,</w:t>
      </w:r>
      <w:r w:rsidRPr="008C1CF1">
        <w:rPr>
          <w:rFonts w:ascii="Palatino Linotype" w:hAnsi="Palatino Linotype"/>
          <w:bCs/>
          <w:sz w:val="22"/>
          <w:szCs w:val="22"/>
          <w:lang w:val="en-ID"/>
        </w:rPr>
        <w:t xml:space="preserve"> therefore</w:t>
      </w:r>
      <w:r w:rsidR="006E7464" w:rsidRPr="008C1CF1">
        <w:rPr>
          <w:rFonts w:ascii="Palatino Linotype" w:hAnsi="Palatino Linotype"/>
          <w:bCs/>
          <w:sz w:val="22"/>
          <w:szCs w:val="22"/>
          <w:lang w:val="en-ID"/>
        </w:rPr>
        <w:t>,</w:t>
      </w:r>
      <w:r w:rsidRPr="008C1CF1">
        <w:rPr>
          <w:rFonts w:ascii="Palatino Linotype" w:hAnsi="Palatino Linotype"/>
          <w:bCs/>
          <w:sz w:val="22"/>
          <w:szCs w:val="22"/>
          <w:lang w:val="en-ID"/>
        </w:rPr>
        <w:t xml:space="preserve"> needs to be examined through classroom practices, particularly how teachers guide </w:t>
      </w:r>
      <w:r w:rsidR="006E7464" w:rsidRPr="008C1CF1">
        <w:rPr>
          <w:rFonts w:ascii="Palatino Linotype" w:hAnsi="Palatino Linotype"/>
          <w:bCs/>
          <w:sz w:val="22"/>
          <w:szCs w:val="22"/>
          <w:lang w:val="en-ID"/>
        </w:rPr>
        <w:t>the</w:t>
      </w:r>
      <w:r w:rsidRPr="008C1CF1">
        <w:rPr>
          <w:rFonts w:ascii="Palatino Linotype" w:hAnsi="Palatino Linotype"/>
          <w:bCs/>
          <w:sz w:val="22"/>
          <w:szCs w:val="22"/>
          <w:lang w:val="en-ID"/>
        </w:rPr>
        <w:t xml:space="preserve"> use </w:t>
      </w:r>
      <w:r w:rsidR="006E7464" w:rsidRPr="008C1CF1">
        <w:rPr>
          <w:rFonts w:ascii="Palatino Linotype" w:hAnsi="Palatino Linotype"/>
          <w:bCs/>
          <w:sz w:val="22"/>
          <w:szCs w:val="22"/>
          <w:lang w:val="en-ID"/>
        </w:rPr>
        <w:t xml:space="preserve">of worksheets </w:t>
      </w:r>
      <w:r w:rsidRPr="008C1CF1">
        <w:rPr>
          <w:rFonts w:ascii="Palatino Linotype" w:hAnsi="Palatino Linotype"/>
          <w:bCs/>
          <w:sz w:val="22"/>
          <w:szCs w:val="22"/>
          <w:lang w:val="en-ID"/>
        </w:rPr>
        <w:t>and how students initiate, sustain, and complete the activities provided.</w:t>
      </w:r>
    </w:p>
    <w:p w14:paraId="2C04CB44" w14:textId="24732553" w:rsidR="008525DB" w:rsidRPr="008C1CF1" w:rsidRDefault="008525DB" w:rsidP="008525DB">
      <w:pPr>
        <w:spacing w:line="360" w:lineRule="auto"/>
        <w:ind w:firstLine="709"/>
        <w:contextualSpacing/>
        <w:jc w:val="both"/>
        <w:rPr>
          <w:rFonts w:ascii="Palatino Linotype" w:hAnsi="Palatino Linotype"/>
          <w:bCs/>
          <w:sz w:val="22"/>
          <w:szCs w:val="22"/>
          <w:lang w:val="en-ID"/>
        </w:rPr>
      </w:pPr>
      <w:r w:rsidRPr="008C1CF1">
        <w:rPr>
          <w:rFonts w:ascii="Palatino Linotype" w:hAnsi="Palatino Linotype"/>
          <w:bCs/>
          <w:sz w:val="22"/>
          <w:szCs w:val="22"/>
          <w:lang w:val="en-ID"/>
        </w:rPr>
        <w:t xml:space="preserve">At </w:t>
      </w:r>
      <w:proofErr w:type="spellStart"/>
      <w:r w:rsidRPr="008C1CF1">
        <w:rPr>
          <w:rFonts w:ascii="Palatino Linotype" w:hAnsi="Palatino Linotype"/>
          <w:bCs/>
          <w:sz w:val="22"/>
          <w:szCs w:val="22"/>
          <w:lang w:val="en-ID"/>
        </w:rPr>
        <w:t>MTsN</w:t>
      </w:r>
      <w:proofErr w:type="spellEnd"/>
      <w:r w:rsidRPr="008C1CF1">
        <w:rPr>
          <w:rFonts w:ascii="Palatino Linotype" w:hAnsi="Palatino Linotype"/>
          <w:bCs/>
          <w:sz w:val="22"/>
          <w:szCs w:val="22"/>
          <w:lang w:val="en-ID"/>
        </w:rPr>
        <w:t xml:space="preserve"> 5 Kota Jambi, preliminary observations on December 9, 2025, showed that students used </w:t>
      </w:r>
      <w:r w:rsidR="00B425DE" w:rsidRPr="008C1CF1">
        <w:rPr>
          <w:rFonts w:ascii="Palatino Linotype" w:hAnsi="Palatino Linotype"/>
          <w:bCs/>
          <w:sz w:val="22"/>
          <w:szCs w:val="22"/>
          <w:lang w:val="en-ID"/>
        </w:rPr>
        <w:t xml:space="preserve">the Student Worksheet </w:t>
      </w:r>
      <w:r w:rsidRPr="008C1CF1">
        <w:rPr>
          <w:rFonts w:ascii="Palatino Linotype" w:hAnsi="Palatino Linotype"/>
          <w:bCs/>
          <w:sz w:val="22"/>
          <w:szCs w:val="22"/>
          <w:lang w:val="en-ID"/>
        </w:rPr>
        <w:t xml:space="preserve">to read lesson content, complete exercises, and review material. However, some students waited for teacher instructions before beginning tasks and appeared hesitant to complete assignments independently. Difficulties also </w:t>
      </w:r>
      <w:r w:rsidR="005B231A" w:rsidRPr="008C1CF1">
        <w:rPr>
          <w:rFonts w:ascii="Palatino Linotype" w:hAnsi="Palatino Linotype"/>
          <w:bCs/>
          <w:sz w:val="22"/>
          <w:szCs w:val="22"/>
          <w:lang w:val="en-ID"/>
        </w:rPr>
        <w:t>arose</w:t>
      </w:r>
      <w:r w:rsidRPr="008C1CF1">
        <w:rPr>
          <w:rFonts w:ascii="Palatino Linotype" w:hAnsi="Palatino Linotype"/>
          <w:bCs/>
          <w:sz w:val="22"/>
          <w:szCs w:val="22"/>
          <w:lang w:val="en-ID"/>
        </w:rPr>
        <w:t xml:space="preserve"> when worksheet questions did not clearly </w:t>
      </w:r>
      <w:r w:rsidR="005B231A" w:rsidRPr="008C1CF1">
        <w:rPr>
          <w:rFonts w:ascii="Palatino Linotype" w:hAnsi="Palatino Linotype"/>
          <w:bCs/>
          <w:sz w:val="22"/>
          <w:szCs w:val="22"/>
          <w:lang w:val="en-ID"/>
        </w:rPr>
        <w:t>align</w:t>
      </w:r>
      <w:r w:rsidRPr="008C1CF1">
        <w:rPr>
          <w:rFonts w:ascii="Palatino Linotype" w:hAnsi="Palatino Linotype"/>
          <w:bCs/>
          <w:sz w:val="22"/>
          <w:szCs w:val="22"/>
          <w:lang w:val="en-ID"/>
        </w:rPr>
        <w:t xml:space="preserve"> </w:t>
      </w:r>
      <w:r w:rsidR="005B231A" w:rsidRPr="008C1CF1">
        <w:rPr>
          <w:rFonts w:ascii="Palatino Linotype" w:hAnsi="Palatino Linotype"/>
          <w:bCs/>
          <w:sz w:val="22"/>
          <w:szCs w:val="22"/>
          <w:lang w:val="en-ID"/>
        </w:rPr>
        <w:t>with</w:t>
      </w:r>
      <w:r w:rsidRPr="008C1CF1">
        <w:rPr>
          <w:rFonts w:ascii="Palatino Linotype" w:hAnsi="Palatino Linotype"/>
          <w:bCs/>
          <w:sz w:val="22"/>
          <w:szCs w:val="22"/>
          <w:lang w:val="en-ID"/>
        </w:rPr>
        <w:t xml:space="preserve"> the accompanying material, prompting students to seek further explanations</w:t>
      </w:r>
      <w:r w:rsidR="005B231A" w:rsidRPr="008C1CF1">
        <w:rPr>
          <w:rFonts w:ascii="Palatino Linotype" w:hAnsi="Palatino Linotype"/>
          <w:bCs/>
          <w:sz w:val="22"/>
          <w:szCs w:val="22"/>
          <w:lang w:val="en-ID"/>
        </w:rPr>
        <w:t xml:space="preserve"> </w:t>
      </w:r>
      <w:r w:rsidR="005B231A" w:rsidRPr="008C1CF1">
        <w:rPr>
          <w:rFonts w:ascii="Palatino Linotype" w:hAnsi="Palatino Linotype"/>
          <w:bCs/>
          <w:sz w:val="22"/>
          <w:szCs w:val="22"/>
          <w:lang w:val="en-ID"/>
        </w:rPr>
        <w:fldChar w:fldCharType="begin"/>
      </w:r>
      <w:r w:rsidR="005B231A" w:rsidRPr="008C1CF1">
        <w:rPr>
          <w:rFonts w:ascii="Palatino Linotype" w:hAnsi="Palatino Linotype"/>
          <w:bCs/>
          <w:sz w:val="22"/>
          <w:szCs w:val="22"/>
          <w:lang w:val="en-ID"/>
        </w:rPr>
        <w:instrText xml:space="preserve"> ADDIN ZOTERO_ITEM CSL_CITATION {"citationID":"LkGc4tLn","properties":{"unsorted":false,"formattedCitation":"(Amanda &amp; Syolendra, 2025)","plainCitation":"(Amanda &amp; Syolendra, 2025)","noteIndex":0},"citationItems":[{"id":3778,"uris":["http://zotero.org/users/local/XAaPoWI6/items/V55GA9UF"],"itemData":{"id":3778,"type":"article-journal","abstract":"Students' misunderstandings and low level of active involvement in learning chemical equilibrium and the incomplete application of problem-based learning models. This study was motivated by students' misconceptions and low active involvement in learning chemical equilibrium material. In addition, the implementation of the problem-based learning model has not been fully realized, and students still experience difficulties in connecting and applying chemical concepts to everyday life. The purpose of this study is to develop a problem-based learning e-worksheet with prompting question techniques on chemical equilibrium material that is valid and practical. The method used is research and development (R&amp;D) with the Plomp model, which includes the preliminary research and prototyping phases. Validity analysis techniques were analyzed using Aiken's V scale, and practicality analysis techniques were analyzed using a percentage formula. The validity analysis yielded an average score of 0.925, which is considered valid. The practicality test results showed that the e-worksheet is highly practical, with an average score of 94.375% from teachers and 89.38% from students. Based on the results of the study, it can be concluded that the development of an e-worksheet based on problem-based learning with prompting question techniques on chemical equilibrium material is valid and very practical.","container-title":"Jurnal Pijar Mipa","DOI":"10.29303/jpm.v20i6.9801","ISSN":"2460-1500, 1907-1744","issue":"6","journalAbbreviation":"J. Pijar.MIPA","license":"https://creativecommons.org/licenses/by/4.0","page":"1015-1021","source":"DOI.org (Crossref)","title":"Development of an E-worksheet Based on Problem-Based Learning with Prompting Question Technique on Chemical Equilibrium Material","volume":"20","author":[{"family":"Amanda","given":"Putry"},{"family":"Syolendra","given":"Dwi Finna"}],"issued":{"date-parts":[["2025",9,21]]}}}],"schema":"https://github.com/citation-style-language/schema/raw/master/csl-citation.json"} </w:instrText>
      </w:r>
      <w:r w:rsidR="005B231A" w:rsidRPr="008C1CF1">
        <w:rPr>
          <w:rFonts w:ascii="Palatino Linotype" w:hAnsi="Palatino Linotype"/>
          <w:bCs/>
          <w:sz w:val="22"/>
          <w:szCs w:val="22"/>
          <w:lang w:val="en-ID"/>
        </w:rPr>
        <w:fldChar w:fldCharType="separate"/>
      </w:r>
      <w:r w:rsidR="005B231A" w:rsidRPr="008C1CF1">
        <w:rPr>
          <w:rFonts w:ascii="Palatino Linotype" w:hAnsi="Palatino Linotype"/>
          <w:bCs/>
          <w:noProof/>
          <w:sz w:val="22"/>
          <w:szCs w:val="22"/>
          <w:lang w:val="en-ID"/>
        </w:rPr>
        <w:t>(Amanda &amp; Syolendra, 2025)</w:t>
      </w:r>
      <w:r w:rsidR="005B231A" w:rsidRPr="008C1CF1">
        <w:rPr>
          <w:rFonts w:ascii="Palatino Linotype" w:hAnsi="Palatino Linotype"/>
          <w:bCs/>
          <w:sz w:val="22"/>
          <w:szCs w:val="22"/>
          <w:lang w:val="en-ID"/>
        </w:rPr>
        <w:fldChar w:fldCharType="end"/>
      </w:r>
      <w:r w:rsidRPr="008C1CF1">
        <w:rPr>
          <w:rFonts w:ascii="Palatino Linotype" w:hAnsi="Palatino Linotype"/>
          <w:bCs/>
          <w:sz w:val="22"/>
          <w:szCs w:val="22"/>
          <w:lang w:val="en-ID"/>
        </w:rPr>
        <w:t xml:space="preserve">. Interview accounts indicated that the Al-Qur’an and Hadith teacher encouraged students to read the instructions and attempt exercises before requesting direct assistance. Students nevertheless described different levels of confidence and independence: some consulted the material and attempted answers </w:t>
      </w:r>
      <w:r w:rsidR="006E7464" w:rsidRPr="008C1CF1">
        <w:rPr>
          <w:rFonts w:ascii="Palatino Linotype" w:hAnsi="Palatino Linotype"/>
          <w:bCs/>
          <w:sz w:val="22"/>
          <w:szCs w:val="22"/>
          <w:lang w:val="en-ID"/>
        </w:rPr>
        <w:t>on their own</w:t>
      </w:r>
      <w:r w:rsidRPr="008C1CF1">
        <w:rPr>
          <w:rFonts w:ascii="Palatino Linotype" w:hAnsi="Palatino Linotype"/>
          <w:bCs/>
          <w:sz w:val="22"/>
          <w:szCs w:val="22"/>
          <w:lang w:val="en-ID"/>
        </w:rPr>
        <w:t>, while others continued to rely on explanations or help when uncertain</w:t>
      </w:r>
      <w:r w:rsidR="005B231A" w:rsidRPr="008C1CF1">
        <w:rPr>
          <w:rFonts w:ascii="Palatino Linotype" w:hAnsi="Palatino Linotype"/>
          <w:bCs/>
          <w:sz w:val="22"/>
          <w:szCs w:val="22"/>
          <w:lang w:val="en-ID"/>
        </w:rPr>
        <w:t xml:space="preserve"> </w:t>
      </w:r>
      <w:r w:rsidR="005B231A" w:rsidRPr="008C1CF1">
        <w:rPr>
          <w:rFonts w:ascii="Palatino Linotype" w:hAnsi="Palatino Linotype"/>
          <w:bCs/>
          <w:sz w:val="22"/>
          <w:szCs w:val="22"/>
          <w:lang w:val="en-ID"/>
        </w:rPr>
        <w:fldChar w:fldCharType="begin"/>
      </w:r>
      <w:r w:rsidR="005B231A" w:rsidRPr="008C1CF1">
        <w:rPr>
          <w:rFonts w:ascii="Palatino Linotype" w:hAnsi="Palatino Linotype"/>
          <w:bCs/>
          <w:sz w:val="22"/>
          <w:szCs w:val="22"/>
          <w:lang w:val="en-ID"/>
        </w:rPr>
        <w:instrText xml:space="preserve"> ADDIN ZOTERO_ITEM CSL_CITATION {"citationID":"mP41vIZk","properties":{"unsorted":false,"formattedCitation":"(Tao &amp; Yan, 2026)","plainCitation":"(Tao &amp; Yan, 2026)","noteIndex":0},"citationItems":[{"id":3780,"uris":["http://zotero.org/users/local/XAaPoWI6/items/ANVMGMHT"],"itemData":{"id":3780,"type":"article-journal","abstract":"This research investigates social links as the main factor by integrating social capital theory and self-determination theory. It utilizes sport participation motivation as a mediating variable and perceived sport competence as a moderating variable to explore the relationship and boundary conditions between social links and university students’ sport participation intentions. A one-time survey was conducted with 514 Chinese university students, and the results show that: social links have a significant positive correlation with university students’ sport participation motivation; sport participation motivation partially mediates the relationship between social links and sport participation intentions; perceived sport competence positively moderates the relationship between sport participation motivation and sport participation intentions; and perceived sport competence also moderates the indirect effect of social links on sport participation intentions through motivation, such that the indirect effect is significant mainly among students with higher perceived sport competence. This study reveals the formation mechanism of university students’ sport participation intentions from the perspective of social links and provides valuable insights for physical education reform in higher education.\n          , \n            Plain Language Summary\n            Regular exercise protects young people's physical and mental health, yet many university students are not active enough. This study asked what makes students intend to take part in sport, and why some are more likely to act on that intention than others. We focused on students' “social links” — the everyday support that comes from close relationships such as friends, classmates, roommates, and family, including encouragement, companionship, and having someone to exercise with. We surveyed 514 university students in China. We found that students with stronger social links were more motivated to take part in sport, and this stronger motivation, in turn, made them more likely to plan to exercise in the future. So supportive relationships help partly by building students' motivation. However, motivation on its own was not enough. Whether motivation actually became a firm intention depended on how confident students felt about their own sporting ability. Among students who felt capable, motivation translated strongly into plans to exercise; among students who doubted their ability, the same motivation was much less likely to become a real intention. These findings suggest that universities cannot rely on friendships and social encouragement alone to get students moving. They also need to help students build genuine confidence in their physical abilities — for example, through beginner-friendly, low-pressure activities that offer early experiences of success — so that social support can turn into lasting participation.","container-title":"Sage Open","DOI":"10.1177/21582440261496009","ISSN":"2158-2440, 2158-2440","issue":"4","journalAbbreviation":"Sage Open","language":"en","page":"21582440261496009","source":"DOI.org (Crossref)","title":"Investigating the Relationship Between Social Links and University Students’ Sport Participation Intentions: A Moderated Mediation Model","title-short":"Investigating the Relationship Between Social Links and University Students’ Sport Participation Intentions","volume":"16","author":[{"family":"Tao","given":"Rui"},{"family":"Yan","given":"Hong Wu"}],"issued":{"date-parts":[["2026",10]]}}}],"schema":"https://github.com/citation-style-language/schema/raw/master/csl-citation.json"} </w:instrText>
      </w:r>
      <w:r w:rsidR="005B231A" w:rsidRPr="008C1CF1">
        <w:rPr>
          <w:rFonts w:ascii="Palatino Linotype" w:hAnsi="Palatino Linotype"/>
          <w:bCs/>
          <w:sz w:val="22"/>
          <w:szCs w:val="22"/>
          <w:lang w:val="en-ID"/>
        </w:rPr>
        <w:fldChar w:fldCharType="separate"/>
      </w:r>
      <w:r w:rsidR="005B231A" w:rsidRPr="008C1CF1">
        <w:rPr>
          <w:rFonts w:ascii="Palatino Linotype" w:hAnsi="Palatino Linotype"/>
          <w:bCs/>
          <w:noProof/>
          <w:sz w:val="22"/>
          <w:szCs w:val="22"/>
          <w:lang w:val="en-ID"/>
        </w:rPr>
        <w:t>(Tao &amp; Yan, 2026)</w:t>
      </w:r>
      <w:r w:rsidR="005B231A" w:rsidRPr="008C1CF1">
        <w:rPr>
          <w:rFonts w:ascii="Palatino Linotype" w:hAnsi="Palatino Linotype"/>
          <w:bCs/>
          <w:sz w:val="22"/>
          <w:szCs w:val="22"/>
          <w:lang w:val="en-ID"/>
        </w:rPr>
        <w:fldChar w:fldCharType="end"/>
      </w:r>
      <w:r w:rsidRPr="008C1CF1">
        <w:rPr>
          <w:rFonts w:ascii="Palatino Linotype" w:hAnsi="Palatino Linotype"/>
          <w:bCs/>
          <w:sz w:val="22"/>
          <w:szCs w:val="22"/>
          <w:lang w:val="en-ID"/>
        </w:rPr>
        <w:t>. These findings raised an academic concern about the difference between opportunities for independent work and students’ actual participation. Consequently, examining worksheet use required attention to task initiation, confidence, responses to difficulties, and the guidance provided during learning activities</w:t>
      </w:r>
      <w:r w:rsidR="00985830" w:rsidRPr="008C1CF1">
        <w:rPr>
          <w:rFonts w:ascii="Palatino Linotype" w:hAnsi="Palatino Linotype"/>
          <w:bCs/>
          <w:sz w:val="22"/>
          <w:szCs w:val="22"/>
          <w:lang w:val="en-ID"/>
        </w:rPr>
        <w:t xml:space="preserve"> </w:t>
      </w:r>
      <w:r w:rsidR="00985830" w:rsidRPr="008C1CF1">
        <w:rPr>
          <w:rFonts w:ascii="Palatino Linotype" w:hAnsi="Palatino Linotype"/>
          <w:bCs/>
          <w:sz w:val="22"/>
          <w:szCs w:val="22"/>
          <w:lang w:val="en-ID"/>
        </w:rPr>
        <w:fldChar w:fldCharType="begin"/>
      </w:r>
      <w:r w:rsidR="00985830" w:rsidRPr="008C1CF1">
        <w:rPr>
          <w:rFonts w:ascii="Palatino Linotype" w:hAnsi="Palatino Linotype"/>
          <w:bCs/>
          <w:sz w:val="22"/>
          <w:szCs w:val="22"/>
          <w:lang w:val="en-ID"/>
        </w:rPr>
        <w:instrText xml:space="preserve"> ADDIN ZOTERO_ITEM CSL_CITATION {"citationID":"hdTlJRtp","properties":{"unsorted":false,"formattedCitation":"(Juliana, Ampera, Farihah, et al., 2024)","plainCitation":"(Juliana, Ampera, Farihah, et al., 2024)","noteIndex":0},"citationItems":[{"id":3741,"uris":["http://zotero.org/users/local/XAaPoWI6/items/6FFZPXCP"],"itemData":{"id":3741,"type":"article-journal","abstract":"The independent campus learning curriculum currently being developed focuses on student-centered learning so that lecturers are not the only source of learning. This research was motivated by the lack of student learning independence and low learning outcomes in craft arts learning. The aim of the research is to produce Digital Student Worksheets that are feasible and effective in increasing student learning independence in Arts and Crafts courses in the Fashion Design Education study program. This development research uses the Thiagarajan 4-D development model. This model consists of 4 stages, including the needs analysis stage, product design stage, validation and evaluation stage. The results of validation by material experts obtained an average result of 4.12 in the feasible category. the validation results from media experts obtained an average score of 4.27 in the adequate category. The results of trials carried out by lecturers and students obtained an average score of 4.55 in the very good category. At this stage, an evaluation of all activities that have been carried out is carried out, especially the input provided by experts and users. The results of the posttest carried out obtained an increase of 28% in improving learning outcomes. Digital LKM is suitable for use in learning and motivates students to increase student independence. Digital LKM can help students learn independently. The implication of this research is that digital LKM can be used by teachers because it can present problems in more detail so that students can construct their knowledge independently.","container-title":"Journal of Education Technology","DOI":"10.23887/jet.v8i1.75433","ISSN":"2549-8290, 2549-4856","issue":"1","journalAbbreviation":"J. Educ. Technol.","license":"http://creativecommons.org/licenses/by-sa/4.0","page":"31-41","source":"DOI.org (Crossref)","title":"Digital Student Worksheets to Improving Students' Learning Independence","volume":"8","author":[{"family":"Juliana","given":"Netty"},{"family":"Ampera","given":"Dina"},{"literal":"Farihah"},{"literal":"Baharuddin"},{"family":"Sinukaban","given":"Veronika Yulisna"}],"issued":{"date-parts":[["2024",4,4]]}}}],"schema":"https://github.com/citation-style-language/schema/raw/master/csl-citation.json"} </w:instrText>
      </w:r>
      <w:r w:rsidR="00985830" w:rsidRPr="008C1CF1">
        <w:rPr>
          <w:rFonts w:ascii="Palatino Linotype" w:hAnsi="Palatino Linotype"/>
          <w:bCs/>
          <w:sz w:val="22"/>
          <w:szCs w:val="22"/>
          <w:lang w:val="en-ID"/>
        </w:rPr>
        <w:fldChar w:fldCharType="separate"/>
      </w:r>
      <w:r w:rsidR="00985830" w:rsidRPr="008C1CF1">
        <w:rPr>
          <w:rFonts w:ascii="Palatino Linotype" w:hAnsi="Palatino Linotype"/>
          <w:bCs/>
          <w:noProof/>
          <w:sz w:val="22"/>
          <w:szCs w:val="22"/>
          <w:lang w:val="en-ID"/>
        </w:rPr>
        <w:t>(Juliana, Ampera, Farihah, et al., 2024)</w:t>
      </w:r>
      <w:r w:rsidR="00985830" w:rsidRPr="008C1CF1">
        <w:rPr>
          <w:rFonts w:ascii="Palatino Linotype" w:hAnsi="Palatino Linotype"/>
          <w:bCs/>
          <w:sz w:val="22"/>
          <w:szCs w:val="22"/>
          <w:lang w:val="en-ID"/>
        </w:rPr>
        <w:fldChar w:fldCharType="end"/>
      </w:r>
      <w:r w:rsidRPr="008C1CF1">
        <w:rPr>
          <w:rFonts w:ascii="Palatino Linotype" w:hAnsi="Palatino Linotype"/>
          <w:bCs/>
          <w:sz w:val="22"/>
          <w:szCs w:val="22"/>
          <w:lang w:val="en-ID"/>
        </w:rPr>
        <w:t>.</w:t>
      </w:r>
    </w:p>
    <w:p w14:paraId="1852DE90" w14:textId="5DF40B59" w:rsidR="008D07DE" w:rsidRPr="008C1CF1" w:rsidRDefault="008D07DE" w:rsidP="008D07DE">
      <w:pPr>
        <w:spacing w:line="360" w:lineRule="auto"/>
        <w:ind w:firstLine="709"/>
        <w:contextualSpacing/>
        <w:jc w:val="both"/>
        <w:rPr>
          <w:rFonts w:ascii="Palatino Linotype" w:hAnsi="Palatino Linotype"/>
          <w:bCs/>
          <w:sz w:val="22"/>
          <w:szCs w:val="22"/>
          <w:lang w:val="en-ID"/>
        </w:rPr>
      </w:pPr>
      <w:r w:rsidRPr="008C1CF1">
        <w:rPr>
          <w:rFonts w:ascii="Palatino Linotype" w:hAnsi="Palatino Linotype"/>
          <w:bCs/>
          <w:sz w:val="22"/>
          <w:szCs w:val="22"/>
          <w:lang w:val="en-ID"/>
        </w:rPr>
        <w:t xml:space="preserve">Previous studies have addressed several aspects of this issue. </w:t>
      </w:r>
      <w:r w:rsidR="00894F24" w:rsidRPr="008C1CF1">
        <w:rPr>
          <w:rFonts w:ascii="Palatino Linotype" w:hAnsi="Palatino Linotype"/>
          <w:bCs/>
          <w:sz w:val="22"/>
          <w:szCs w:val="22"/>
          <w:lang w:val="en-ID"/>
        </w:rPr>
        <w:fldChar w:fldCharType="begin"/>
      </w:r>
      <w:r w:rsidR="00894F24" w:rsidRPr="008C1CF1">
        <w:rPr>
          <w:rFonts w:ascii="Palatino Linotype" w:hAnsi="Palatino Linotype"/>
          <w:bCs/>
          <w:sz w:val="22"/>
          <w:szCs w:val="22"/>
          <w:lang w:val="en-ID"/>
        </w:rPr>
        <w:instrText xml:space="preserve"> ADDIN ZOTERO_ITEM CSL_CITATION {"citationID":"ix2RN1F0","properties":{"unsorted":false,"formattedCitation":"(Papamitsiou &amp; Economides, 2019)","plainCitation":"(Papamitsiou &amp; Economides, 2019)","noteIndex":0},"citationItems":[{"id":3727,"uris":["http://zotero.org/users/local/XAaPoWI6/items/SLXRWKE2"],"itemData":{"id":3727,"type":"article-journal","abstract":"Abstract\n            \n              Practising self‐regulated learning (SRL) has been proposed to develop learning autonomy. However, there is lack of empirical evidence on how SRL strategies affect autonomous learning capacity. This study attempts to bridge that gap by utilizing the learners’ trace data for measuring the learners’ autonomous interactions, and investigates the effects of four SRL strategies on learners’ autonomous choices. The goal is to explain how the employed SRL strategies impact autonomous control (in terms of frequencies of self‐enforced decisions, as well as time‐spent on decision making). The results from an exploratory study with undergraduate learners (\n              N\n               = 113) shown that goal‐setting and time‐management have strong positive effects on autonomous control, effort‐regulation moderately positively affects learners’ autonomy, while help‐seeking has a strong negative effect. These findings provide empirical evidence and contribute to clarifying the role of each one of the SRL strategies in the development of autonomous learning capacity, from a learning analytics perspective. Limitations and potential implications for research and practice are also discussed.","container-title":"British Journal of Educational Technology","DOI":"10.1111/bjet.12747","ISSN":"0007-1013, 1467-8535","issue":"6","journalAbbreviation":"Brit J Educational Tech","language":"en","page":"3138-3155","source":"DOI.org (Crossref)","title":"Exploring Autonomous Learning Capacity from  A Self‐regulated Learning Perspective Using Learning Analytics","volume":"50","author":[{"family":"Papamitsiou","given":"Zacharoula"},{"family":"Economides","given":"Anastasios A."}],"issued":{"date-parts":[["2019",11]]}}}],"schema":"https://github.com/citation-style-language/schema/raw/master/csl-citation.json"} </w:instrText>
      </w:r>
      <w:r w:rsidR="00894F24" w:rsidRPr="008C1CF1">
        <w:rPr>
          <w:rFonts w:ascii="Palatino Linotype" w:hAnsi="Palatino Linotype"/>
          <w:bCs/>
          <w:sz w:val="22"/>
          <w:szCs w:val="22"/>
          <w:lang w:val="en-ID"/>
        </w:rPr>
        <w:fldChar w:fldCharType="separate"/>
      </w:r>
      <w:r w:rsidR="00894F24" w:rsidRPr="008C1CF1">
        <w:rPr>
          <w:rFonts w:ascii="Palatino Linotype" w:hAnsi="Palatino Linotype"/>
          <w:bCs/>
          <w:noProof/>
          <w:sz w:val="22"/>
          <w:szCs w:val="22"/>
          <w:lang w:val="en-ID"/>
        </w:rPr>
        <w:t>(Papamitsiou &amp; Economides, 2019)</w:t>
      </w:r>
      <w:r w:rsidR="00894F24" w:rsidRPr="008C1CF1">
        <w:rPr>
          <w:rFonts w:ascii="Palatino Linotype" w:hAnsi="Palatino Linotype"/>
          <w:bCs/>
          <w:sz w:val="22"/>
          <w:szCs w:val="22"/>
          <w:lang w:val="en-ID"/>
        </w:rPr>
        <w:fldChar w:fldCharType="end"/>
      </w:r>
      <w:r w:rsidR="00894F24" w:rsidRPr="008C1CF1">
        <w:rPr>
          <w:rFonts w:ascii="Palatino Linotype" w:hAnsi="Palatino Linotype"/>
          <w:bCs/>
          <w:sz w:val="22"/>
          <w:szCs w:val="22"/>
          <w:lang w:val="en-ID"/>
        </w:rPr>
        <w:t xml:space="preserve"> </w:t>
      </w:r>
      <w:r w:rsidRPr="008C1CF1">
        <w:rPr>
          <w:rFonts w:ascii="Palatino Linotype" w:hAnsi="Palatino Linotype"/>
          <w:bCs/>
          <w:sz w:val="22"/>
          <w:szCs w:val="22"/>
          <w:lang w:val="en-ID"/>
        </w:rPr>
        <w:t xml:space="preserve">discussed learning autonomy in relation to students’ initiative, management of learning activities, and decisions when facing difficulties. </w:t>
      </w:r>
      <w:r w:rsidR="007E6BE5" w:rsidRPr="008C1CF1">
        <w:rPr>
          <w:rFonts w:ascii="Palatino Linotype" w:hAnsi="Palatino Linotype"/>
          <w:bCs/>
          <w:sz w:val="22"/>
          <w:szCs w:val="22"/>
          <w:lang w:val="en-ID"/>
        </w:rPr>
        <w:fldChar w:fldCharType="begin"/>
      </w:r>
      <w:r w:rsidR="007E6BE5" w:rsidRPr="008C1CF1">
        <w:rPr>
          <w:rFonts w:ascii="Palatino Linotype" w:hAnsi="Palatino Linotype"/>
          <w:bCs/>
          <w:sz w:val="22"/>
          <w:szCs w:val="22"/>
          <w:lang w:val="en-ID"/>
        </w:rPr>
        <w:instrText xml:space="preserve"> ADDIN ZOTERO_ITEM CSL_CITATION {"citationID":"Z2aSFAru","properties":{"unsorted":false,"formattedCitation":"(Yulianingsih &amp; Fathiyah, 2025)","plainCitation":"(Yulianingsih &amp; Fathiyah, 2025)","noteIndex":0},"citationItems":[{"id":3728,"uris":["http://zotero.org/users/local/XAaPoWI6/items/VYXHGD3E"],"itemData":{"id":3728,"type":"article-journal","abstract":"Low parental support and learning attitudes can hinder students' learning processes. This study was conducted to determine the effect of parental social support and self-regulation on the learning independence of fifth-grade students at Fostered Area (Dabin) Elementary School 1, Prambanan District. This study uses a quantitative research type of ex post facto design without providing special treatment to students based on the research instruments created. The population in this study amounted to 122 students, with a research sample of 92 students selected randomly. The research instruments used were in the form of a questionnaire on parental social support, a questionnaire on self-regulation, and a questionnaire on learning independence, which have been proven valid by expert judgment, a validity test, and a reliability test. The tabulated data were subjected to assumption tests in the form of a one-sample Kolmogorov-Smirnov normality test, linearity test, multicollinearity test, and heteroscedasticity test with the help of SPSS 29. Furthermore, the data were analyzed using multiple regression techniques with the help of SPSS version 29 to test the research hypothesis. The results of the study prove that: 1) Parental social support and self-regulation together influence students' learning independence. 2) Parental social support partially influences students' learning independence. 3) Self-regulation partially influences students' learning independence in class V of Fostered Area (Dabin) Elementary School, Prambanan District. So, it can be concluded that parental social support and self-regulation have implications for learning independence. It is hoped that this study can contribute to increasing the role of parents in providing social support to their children. It is recommended that future studies examine interventions or programs designed to enhance self-regulation and learning independence while taking into account the role of social support, particularly from parents.","container-title":"Jurnal Inovasi Teknologi Pendidikan","DOI":"10.21831/jitp.v12i2.83713","ISSN":"2460-7177","issue":"2","language":"en","license":"Copyright (c) 2025 Tri Yulianingsih, Kartika Nur Fathiyah","page":"117-131","source":"jurnal.uny.ac.id","title":"Learning independence: The influence of parental social support and self-regulation","title-short":"Learning independence","volume":"12","author":[{"family":"Yulianingsih","given":"Tri"},{"family":"Fathiyah","given":"Kartika Nur"}],"issued":{"date-parts":[["2025",6,16]]}}}],"schema":"https://github.com/citation-style-language/schema/raw/master/csl-citation.json"} </w:instrText>
      </w:r>
      <w:r w:rsidR="007E6BE5" w:rsidRPr="008C1CF1">
        <w:rPr>
          <w:rFonts w:ascii="Palatino Linotype" w:hAnsi="Palatino Linotype"/>
          <w:bCs/>
          <w:sz w:val="22"/>
          <w:szCs w:val="22"/>
          <w:lang w:val="en-ID"/>
        </w:rPr>
        <w:fldChar w:fldCharType="separate"/>
      </w:r>
      <w:r w:rsidR="007E6BE5" w:rsidRPr="008C1CF1">
        <w:rPr>
          <w:rFonts w:ascii="Palatino Linotype" w:hAnsi="Palatino Linotype"/>
          <w:bCs/>
          <w:noProof/>
          <w:sz w:val="22"/>
          <w:szCs w:val="22"/>
          <w:lang w:val="en-ID"/>
        </w:rPr>
        <w:t>(Yulianingsih &amp; Fathiyah, 2025)</w:t>
      </w:r>
      <w:r w:rsidR="007E6BE5" w:rsidRPr="008C1CF1">
        <w:rPr>
          <w:rFonts w:ascii="Palatino Linotype" w:hAnsi="Palatino Linotype"/>
          <w:bCs/>
          <w:sz w:val="22"/>
          <w:szCs w:val="22"/>
          <w:lang w:val="en-ID"/>
        </w:rPr>
        <w:fldChar w:fldCharType="end"/>
      </w:r>
      <w:r w:rsidR="007E6BE5" w:rsidRPr="008C1CF1">
        <w:rPr>
          <w:rFonts w:ascii="Palatino Linotype" w:hAnsi="Palatino Linotype"/>
          <w:bCs/>
          <w:sz w:val="22"/>
          <w:szCs w:val="22"/>
          <w:lang w:val="en-ID"/>
        </w:rPr>
        <w:t xml:space="preserve"> </w:t>
      </w:r>
      <w:r w:rsidRPr="008C1CF1">
        <w:rPr>
          <w:rFonts w:ascii="Palatino Linotype" w:hAnsi="Palatino Linotype"/>
          <w:bCs/>
          <w:sz w:val="22"/>
          <w:szCs w:val="22"/>
          <w:lang w:val="en-ID"/>
        </w:rPr>
        <w:t xml:space="preserve">examined the </w:t>
      </w:r>
      <w:r w:rsidRPr="008C1CF1">
        <w:rPr>
          <w:rFonts w:ascii="Palatino Linotype" w:hAnsi="Palatino Linotype"/>
          <w:bCs/>
          <w:sz w:val="22"/>
          <w:szCs w:val="22"/>
          <w:lang w:val="en-ID"/>
        </w:rPr>
        <w:lastRenderedPageBreak/>
        <w:t xml:space="preserve">relationship </w:t>
      </w:r>
      <w:r w:rsidR="00650B5D" w:rsidRPr="008C1CF1">
        <w:rPr>
          <w:rFonts w:ascii="Palatino Linotype" w:hAnsi="Palatino Linotype"/>
          <w:bCs/>
          <w:sz w:val="22"/>
          <w:szCs w:val="22"/>
          <w:lang w:val="en-ID"/>
        </w:rPr>
        <w:t>between</w:t>
      </w:r>
      <w:r w:rsidRPr="008C1CF1">
        <w:rPr>
          <w:rFonts w:ascii="Palatino Linotype" w:hAnsi="Palatino Linotype"/>
          <w:bCs/>
          <w:sz w:val="22"/>
          <w:szCs w:val="22"/>
          <w:lang w:val="en-ID"/>
        </w:rPr>
        <w:t xml:space="preserve"> self-regulation and discipline with independent learning. </w:t>
      </w:r>
      <w:r w:rsidR="007E6BE5" w:rsidRPr="008C1CF1">
        <w:rPr>
          <w:rFonts w:ascii="Palatino Linotype" w:hAnsi="Palatino Linotype"/>
          <w:bCs/>
          <w:sz w:val="22"/>
          <w:szCs w:val="22"/>
          <w:lang w:val="en-ID"/>
        </w:rPr>
        <w:fldChar w:fldCharType="begin"/>
      </w:r>
      <w:r w:rsidR="007E6BE5" w:rsidRPr="008C1CF1">
        <w:rPr>
          <w:rFonts w:ascii="Palatino Linotype" w:hAnsi="Palatino Linotype"/>
          <w:bCs/>
          <w:sz w:val="22"/>
          <w:szCs w:val="22"/>
          <w:lang w:val="en-ID"/>
        </w:rPr>
        <w:instrText xml:space="preserve"> ADDIN ZOTERO_ITEM CSL_CITATION {"citationID":"Gk8n5xyc","properties":{"unsorted":false,"formattedCitation":"(Rasyidi et al., 2025)","plainCitation":"(Rasyidi et al., 2025)","noteIndex":0},"citationItems":[{"id":3730,"uris":["http://zotero.org/users/local/XAaPoWI6/items/T2SA5D3W"],"itemData":{"id":3730,"type":"article-journal","abstract":"This study aims to explore whether increasing the use of inquiry-based learning (IBL) by Madrasah Aliyah teachers in Indonesia improves the social competence of madrasah teachers in learning. Using data collected from IBL intervention program, this study used a quasi-experimental method to assess how IBL is associated with teachers’ social competence, and analyzed using a difference-in-difference design. Generally, the social competence of madrasah teachers is only considered as a determinant of the practice of teaching Islamic religious education, but we found that the social competence of madrasah teachers can be positively influenced by the increased use of IBL in learning. Among the madrasah teacher social competence subscales, IBL is positively related to student engagement and teaching in learning. Analysis using student data shows that students’ positive responses to Islamic religious education learning practices can mediate the relationship between IBL and the social competence of madrasa teachers. This research has implications for the development of the IBL model in improving the social competence of madrasa teachers in learning Islamic religious education.","container-title":"Journal of Instruction and Islamic Religious Education","DOI":"10.63826/jiire.v1i1.4","ISSN":"3090-1243, 3090-1251","issue":"1","journalAbbreviation":"J. INS. ISL. REL.","license":"https://creativecommons.org/licenses/by/4.0","page":"29-44","source":"DOI.org (Crossref)","title":"Inquiry-Based Learning Method: Is It Effective to Improve Madrasa Teacher Social Competence in Students-Centered Learning?","title-short":"Inquiry-Based Learning Method","volume":"1","author":[{"family":"Rasyidi","given":"Rasyidi"},{"family":"Hafizoh","given":"Aulia"},{"family":"Binti Masrom","given":"Maskiah"},{"family":"Astuti","given":"Daharmi"},{"family":"Narongraksakhet","given":"Ibrahim"},{"family":"Husti","given":"Ilyas"},{"family":"Nurhaliza","given":"Andi"}],"issued":{"date-parts":[["2025",3,8]]}}}],"schema":"https://github.com/citation-style-language/schema/raw/master/csl-citation.json"} </w:instrText>
      </w:r>
      <w:r w:rsidR="007E6BE5" w:rsidRPr="008C1CF1">
        <w:rPr>
          <w:rFonts w:ascii="Palatino Linotype" w:hAnsi="Palatino Linotype"/>
          <w:bCs/>
          <w:sz w:val="22"/>
          <w:szCs w:val="22"/>
          <w:lang w:val="en-ID"/>
        </w:rPr>
        <w:fldChar w:fldCharType="separate"/>
      </w:r>
      <w:r w:rsidR="007E6BE5" w:rsidRPr="008C1CF1">
        <w:rPr>
          <w:rFonts w:ascii="Palatino Linotype" w:hAnsi="Palatino Linotype"/>
          <w:bCs/>
          <w:noProof/>
          <w:sz w:val="22"/>
          <w:szCs w:val="22"/>
          <w:lang w:val="en-ID"/>
        </w:rPr>
        <w:t>(Rasyidi et al., 2025)</w:t>
      </w:r>
      <w:r w:rsidR="007E6BE5" w:rsidRPr="008C1CF1">
        <w:rPr>
          <w:rFonts w:ascii="Palatino Linotype" w:hAnsi="Palatino Linotype"/>
          <w:bCs/>
          <w:sz w:val="22"/>
          <w:szCs w:val="22"/>
          <w:lang w:val="en-ID"/>
        </w:rPr>
        <w:fldChar w:fldCharType="end"/>
      </w:r>
      <w:r w:rsidR="007E6BE5" w:rsidRPr="008C1CF1">
        <w:rPr>
          <w:rFonts w:ascii="Palatino Linotype" w:hAnsi="Palatino Linotype"/>
          <w:bCs/>
          <w:sz w:val="22"/>
          <w:szCs w:val="22"/>
          <w:lang w:val="en-ID"/>
        </w:rPr>
        <w:t xml:space="preserve"> </w:t>
      </w:r>
      <w:r w:rsidRPr="008C1CF1">
        <w:rPr>
          <w:rFonts w:ascii="Palatino Linotype" w:hAnsi="Palatino Linotype"/>
          <w:bCs/>
          <w:sz w:val="22"/>
          <w:szCs w:val="22"/>
          <w:lang w:val="en-ID"/>
        </w:rPr>
        <w:t>highlighted teachers’ roles in creating learner-</w:t>
      </w:r>
      <w:proofErr w:type="spellStart"/>
      <w:r w:rsidRPr="008C1CF1">
        <w:rPr>
          <w:rFonts w:ascii="Palatino Linotype" w:hAnsi="Palatino Linotype"/>
          <w:bCs/>
          <w:sz w:val="22"/>
          <w:szCs w:val="22"/>
          <w:lang w:val="en-ID"/>
        </w:rPr>
        <w:t>centered</w:t>
      </w:r>
      <w:proofErr w:type="spellEnd"/>
      <w:r w:rsidRPr="008C1CF1">
        <w:rPr>
          <w:rFonts w:ascii="Palatino Linotype" w:hAnsi="Palatino Linotype"/>
          <w:bCs/>
          <w:sz w:val="22"/>
          <w:szCs w:val="22"/>
          <w:lang w:val="en-ID"/>
        </w:rPr>
        <w:t xml:space="preserve"> conditions that encourage responsibility for learning. </w:t>
      </w:r>
      <w:r w:rsidR="007E6BE5" w:rsidRPr="008C1CF1">
        <w:rPr>
          <w:rFonts w:ascii="Palatino Linotype" w:hAnsi="Palatino Linotype"/>
          <w:bCs/>
          <w:sz w:val="22"/>
          <w:szCs w:val="22"/>
          <w:lang w:val="en-ID"/>
        </w:rPr>
        <w:fldChar w:fldCharType="begin"/>
      </w:r>
      <w:r w:rsidR="007E6BE5" w:rsidRPr="008C1CF1">
        <w:rPr>
          <w:rFonts w:ascii="Palatino Linotype" w:hAnsi="Palatino Linotype"/>
          <w:bCs/>
          <w:sz w:val="22"/>
          <w:szCs w:val="22"/>
          <w:lang w:val="en-ID"/>
        </w:rPr>
        <w:instrText xml:space="preserve"> ADDIN ZOTERO_ITEM CSL_CITATION {"citationID":"Lbhp0x0y","properties":{"unsorted":false,"formattedCitation":"(Liestyasari et al., 2025)","plainCitation":"(Liestyasari et al., 2025)","noteIndex":0},"citationItems":[{"id":3734,"uris":["http://zotero.org/users/local/XAaPoWI6/items/L7XNXFRU"],"itemData":{"id":3734,"type":"article-journal","abstract":"This study uses a qualitative approach with a case study method to examine the strategic role of teachers in determining meaningful and contextual Sociology subject matter in the Solo Raya and Central Java regions. Research data was obtained through in-depth interviews, classroom observations, and analysis of learning planning and implementation documents. The research population is all active Sociology teachers who are members of the Sociology Teacher Conference (MGMP) of Greater Solo and Central Java, while the sample includes 13 teachers from four public and private high schools in Surakarta City, Sukoharjo Regency, Sragen Regency, and one aliyah madrasah in Surakarta. Data collection techniques include passive observation of the learning process from March 4-28, 2025, in-depth interviews with teachers, MGMP heads, and two students from each school, and document collection in the form of lesson plans, teaching modules, syllabi, and other teaching materials. Data analysis was carried out using the Miles and Huberman interactive model through the stages of data reduction, data presentation, conclusion drawn, and continuous verification. The results of the study showed that teachers applied three main strategies in the selection of essential materials, namely the relationship with students' social lives, continuity between materials, and strengthening literacy and numeracy. These findings confirm that teachers' autonomy and pedagogical capacity greatly determine the success of the implementation of the Independent Curriculum in meaningful Sociology learning, so systemic support, continuous training, and collaboration between teachers through MGMP are needed.","container-title":"Scaffolding: Jurnal Pendidikan Islam dan Multikulturalisme","DOI":"10.37680/scaffolding.v7i2.7604","ISSN":"2656-4491, 2656-4548","issue":"2","journalAbbreviation":"Scaffolding","license":"http://creativecommons.org/licenses/by-nc/4.0","page":"907-928","source":"DOI.org (Crossref)","title":"The Strategic Role of Teachers in Determining Core Sociology Materials to Create Meaningful Learning","volume":"7","author":[{"family":"Liestyasari","given":"Siany Indria"},{"family":"Budiati","given":"Atik Catur"},{"family":"Astutik","given":"Dwi"},{"family":"Parahita","given":"Bagas Narendra"},{"family":"Siregar","given":"Riadi Syafutra"},{"family":"Gufronuddin","given":"Gufronuddin"}],"issued":{"date-parts":[["2025",9,12]]}}}],"schema":"https://github.com/citation-style-language/schema/raw/master/csl-citation.json"} </w:instrText>
      </w:r>
      <w:r w:rsidR="007E6BE5" w:rsidRPr="008C1CF1">
        <w:rPr>
          <w:rFonts w:ascii="Palatino Linotype" w:hAnsi="Palatino Linotype"/>
          <w:bCs/>
          <w:sz w:val="22"/>
          <w:szCs w:val="22"/>
          <w:lang w:val="en-ID"/>
        </w:rPr>
        <w:fldChar w:fldCharType="separate"/>
      </w:r>
      <w:r w:rsidR="007E6BE5" w:rsidRPr="008C1CF1">
        <w:rPr>
          <w:rFonts w:ascii="Palatino Linotype" w:hAnsi="Palatino Linotype"/>
          <w:bCs/>
          <w:noProof/>
          <w:sz w:val="22"/>
          <w:szCs w:val="22"/>
          <w:lang w:val="en-ID"/>
        </w:rPr>
        <w:t>(Liestyasari et al., 2025)</w:t>
      </w:r>
      <w:r w:rsidR="007E6BE5" w:rsidRPr="008C1CF1">
        <w:rPr>
          <w:rFonts w:ascii="Palatino Linotype" w:hAnsi="Palatino Linotype"/>
          <w:bCs/>
          <w:sz w:val="22"/>
          <w:szCs w:val="22"/>
          <w:lang w:val="en-ID"/>
        </w:rPr>
        <w:fldChar w:fldCharType="end"/>
      </w:r>
      <w:r w:rsidR="007E6BE5" w:rsidRPr="008C1CF1">
        <w:rPr>
          <w:rFonts w:ascii="Palatino Linotype" w:hAnsi="Palatino Linotype"/>
          <w:bCs/>
          <w:sz w:val="22"/>
          <w:szCs w:val="22"/>
          <w:lang w:val="en-ID"/>
        </w:rPr>
        <w:t xml:space="preserve"> </w:t>
      </w:r>
      <w:r w:rsidRPr="008C1CF1">
        <w:rPr>
          <w:rFonts w:ascii="Palatino Linotype" w:hAnsi="Palatino Linotype"/>
          <w:bCs/>
          <w:sz w:val="22"/>
          <w:szCs w:val="22"/>
          <w:lang w:val="en-ID"/>
        </w:rPr>
        <w:t xml:space="preserve">emphasized </w:t>
      </w:r>
      <w:r w:rsidR="00650B5D" w:rsidRPr="008C1CF1">
        <w:rPr>
          <w:rFonts w:ascii="Palatino Linotype" w:hAnsi="Palatino Linotype"/>
          <w:bCs/>
          <w:sz w:val="22"/>
          <w:szCs w:val="22"/>
          <w:lang w:val="en-ID"/>
        </w:rPr>
        <w:t xml:space="preserve">the role of </w:t>
      </w:r>
      <w:r w:rsidRPr="008C1CF1">
        <w:rPr>
          <w:rFonts w:ascii="Palatino Linotype" w:hAnsi="Palatino Linotype"/>
          <w:bCs/>
          <w:sz w:val="22"/>
          <w:szCs w:val="22"/>
          <w:lang w:val="en-ID"/>
        </w:rPr>
        <w:t xml:space="preserve">teacher facilitation in providing opportunities for greater student independence. Meanwhile, </w:t>
      </w:r>
      <w:r w:rsidR="007E6BE5" w:rsidRPr="008C1CF1">
        <w:rPr>
          <w:rFonts w:ascii="Palatino Linotype" w:hAnsi="Palatino Linotype"/>
          <w:bCs/>
          <w:sz w:val="22"/>
          <w:szCs w:val="22"/>
          <w:lang w:val="en-ID"/>
        </w:rPr>
        <w:fldChar w:fldCharType="begin"/>
      </w:r>
      <w:r w:rsidR="007E6BE5" w:rsidRPr="008C1CF1">
        <w:rPr>
          <w:rFonts w:ascii="Palatino Linotype" w:hAnsi="Palatino Linotype"/>
          <w:bCs/>
          <w:sz w:val="22"/>
          <w:szCs w:val="22"/>
          <w:lang w:val="en-ID"/>
        </w:rPr>
        <w:instrText xml:space="preserve"> ADDIN ZOTERO_ITEM CSL_CITATION {"citationID":"xXoV0pEi","properties":{"unsorted":false,"formattedCitation":"(Sihotang &amp; Rambe, 2025)","plainCitation":"(Sihotang &amp; Rambe, 2025)","noteIndex":0},"citationItems":[{"id":3736,"uris":["http://zotero.org/users/local/XAaPoWI6/items/FHLV846A"],"itemData":{"id":3736,"type":"article-journal","abstract":"This study aims to develop inquiry-based Science Student Worksheets (LKPD) on the material of changes in the state of matter to improve critical thinking skills of fifth-grade students of SDS Islam Azizi Medan. The background of this study is based on the low involvement of students and suboptimal critical thinking skills in science learning which is still dominated by lecture methods and the use of textbooks. This study uses the Research and Development (R&amp;amp;D) method with the ADDIE model which includes the stages of analysis, design, development, implementation, and evaluation. The research subjects consisted of fifth-grade students of SDS Islam Azizi Medan as well as validators of material experts, media experts, and learning experts. Data collection techniques used observation, questionnaires, documentation, and critical thinking ability tests. The results showed that the developed LKPD obtained a validation percentage of material experts of 90%, media experts of 90%, and learning experts of 90% with a very valid category. The results of the practicality of LKPD obtained an average percentage of 90% with a very practical category. The effectiveness of the LKPD is seen from the increase in the average pretest score of 58 to 86 in the posttest with an N-Gain value of 0.68 in the moderate category. The use of inquiry-based LKPD can increase students' learning activity and critical thinking skills in the indicators of interpretation, analysis, evaluation, and inference. Thus, the inquiry-based science LKPD is suitable for use as a teaching material to improve the critical thinking skills of elementary school students.","container-title":"Educazione: Journal of Education and Learning","DOI":"10.61987/educazione.v3i1.2441","ISSN":"3030-9476","issue":"2","language":"en","license":"Copyright (c) 2025 Ayu Saniah Sihotang, Andina Halimsyah Rambe","page":"177-187","source":"www.serambi.org","title":"Development of Inquiry-Based Student Worksheets (Lkpd) on The Material of Changes in the State of Substance to Improve Critical Thinking Abilities","volume":"3","author":[{"family":"Sihotang","given":"Ayu Saniah"},{"family":"Rambe","given":"Andina Halimsyah"}],"issued":{"date-parts":[["2025",12,30]]}}}],"schema":"https://github.com/citation-style-language/schema/raw/master/csl-citation.json"} </w:instrText>
      </w:r>
      <w:r w:rsidR="007E6BE5" w:rsidRPr="008C1CF1">
        <w:rPr>
          <w:rFonts w:ascii="Palatino Linotype" w:hAnsi="Palatino Linotype"/>
          <w:bCs/>
          <w:sz w:val="22"/>
          <w:szCs w:val="22"/>
          <w:lang w:val="en-ID"/>
        </w:rPr>
        <w:fldChar w:fldCharType="separate"/>
      </w:r>
      <w:r w:rsidR="007E6BE5" w:rsidRPr="008C1CF1">
        <w:rPr>
          <w:rFonts w:ascii="Palatino Linotype" w:hAnsi="Palatino Linotype"/>
          <w:bCs/>
          <w:noProof/>
          <w:sz w:val="22"/>
          <w:szCs w:val="22"/>
          <w:lang w:val="en-ID"/>
        </w:rPr>
        <w:t>(Sihotang &amp; Rambe, 2025)</w:t>
      </w:r>
      <w:r w:rsidR="007E6BE5" w:rsidRPr="008C1CF1">
        <w:rPr>
          <w:rFonts w:ascii="Palatino Linotype" w:hAnsi="Palatino Linotype"/>
          <w:bCs/>
          <w:sz w:val="22"/>
          <w:szCs w:val="22"/>
          <w:lang w:val="en-ID"/>
        </w:rPr>
        <w:fldChar w:fldCharType="end"/>
      </w:r>
      <w:r w:rsidR="007E6BE5" w:rsidRPr="008C1CF1">
        <w:rPr>
          <w:rFonts w:ascii="Palatino Linotype" w:hAnsi="Palatino Linotype"/>
          <w:bCs/>
          <w:sz w:val="22"/>
          <w:szCs w:val="22"/>
          <w:lang w:val="en-ID"/>
        </w:rPr>
        <w:t xml:space="preserve"> </w:t>
      </w:r>
      <w:r w:rsidRPr="008C1CF1">
        <w:rPr>
          <w:rFonts w:ascii="Palatino Linotype" w:hAnsi="Palatino Linotype"/>
          <w:bCs/>
          <w:sz w:val="22"/>
          <w:szCs w:val="22"/>
          <w:lang w:val="en-ID"/>
        </w:rPr>
        <w:t xml:space="preserve">discussed the use of Student Worksheets (LKPD) to support independent learning with teacher guidance. Together, these studies provide a basis for examining worksheet use at </w:t>
      </w:r>
      <w:proofErr w:type="spellStart"/>
      <w:r w:rsidRPr="008C1CF1">
        <w:rPr>
          <w:rFonts w:ascii="Palatino Linotype" w:hAnsi="Palatino Linotype"/>
          <w:bCs/>
          <w:sz w:val="22"/>
          <w:szCs w:val="22"/>
          <w:lang w:val="en-ID"/>
        </w:rPr>
        <w:t>MTsN</w:t>
      </w:r>
      <w:proofErr w:type="spellEnd"/>
      <w:r w:rsidRPr="008C1CF1">
        <w:rPr>
          <w:rFonts w:ascii="Palatino Linotype" w:hAnsi="Palatino Linotype"/>
          <w:bCs/>
          <w:sz w:val="22"/>
          <w:szCs w:val="22"/>
          <w:lang w:val="en-ID"/>
        </w:rPr>
        <w:t xml:space="preserve"> 5 Kota Jambi, particularly students’ task initiation, responses to difficulties, and need for assistance during classroom activities.</w:t>
      </w:r>
    </w:p>
    <w:p w14:paraId="0D92698B" w14:textId="53885552" w:rsidR="00140449" w:rsidRPr="008C1CF1" w:rsidRDefault="00650B5D" w:rsidP="00A05119">
      <w:pPr>
        <w:spacing w:line="360" w:lineRule="auto"/>
        <w:ind w:firstLine="709"/>
        <w:contextualSpacing/>
        <w:jc w:val="both"/>
        <w:rPr>
          <w:rFonts w:ascii="Palatino Linotype" w:hAnsi="Palatino Linotype"/>
          <w:bCs/>
          <w:sz w:val="22"/>
          <w:szCs w:val="22"/>
          <w:lang w:val="id-ID"/>
        </w:rPr>
      </w:pPr>
      <w:r w:rsidRPr="008C1CF1">
        <w:rPr>
          <w:rFonts w:ascii="Palatino Linotype" w:hAnsi="Palatino Linotype"/>
          <w:bCs/>
          <w:sz w:val="22"/>
          <w:szCs w:val="22"/>
        </w:rPr>
        <w:t>Several</w:t>
      </w:r>
      <w:r w:rsidR="00140449" w:rsidRPr="008C1CF1">
        <w:rPr>
          <w:rFonts w:ascii="Palatino Linotype" w:hAnsi="Palatino Linotype"/>
          <w:bCs/>
          <w:sz w:val="22"/>
          <w:szCs w:val="22"/>
        </w:rPr>
        <w:t xml:space="preserve"> previous studies have examined the relationship between worksheets and independent learning. Lestari et al. demonstrated that </w:t>
      </w:r>
      <w:r w:rsidRPr="008C1CF1">
        <w:rPr>
          <w:rFonts w:ascii="Palatino Linotype" w:hAnsi="Palatino Linotype"/>
          <w:bCs/>
          <w:sz w:val="22"/>
          <w:szCs w:val="22"/>
        </w:rPr>
        <w:t>developing</w:t>
      </w:r>
      <w:r w:rsidR="00140449" w:rsidRPr="008C1CF1">
        <w:rPr>
          <w:rFonts w:ascii="Palatino Linotype" w:hAnsi="Palatino Linotype"/>
          <w:bCs/>
          <w:sz w:val="22"/>
          <w:szCs w:val="22"/>
        </w:rPr>
        <w:t xml:space="preserve"> worksheets oriented toward process skills can support </w:t>
      </w:r>
      <w:r w:rsidR="00A05119" w:rsidRPr="008C1CF1">
        <w:rPr>
          <w:rFonts w:ascii="Palatino Linotype" w:hAnsi="Palatino Linotype"/>
          <w:bCs/>
          <w:sz w:val="22"/>
          <w:szCs w:val="22"/>
        </w:rPr>
        <w:t>students’</w:t>
      </w:r>
      <w:r w:rsidR="00140449" w:rsidRPr="008C1CF1">
        <w:rPr>
          <w:rFonts w:ascii="Palatino Linotype" w:hAnsi="Palatino Linotype"/>
          <w:bCs/>
          <w:sz w:val="22"/>
          <w:szCs w:val="22"/>
        </w:rPr>
        <w:t xml:space="preserve"> independent learning</w:t>
      </w:r>
      <w:r w:rsidR="00086FF6" w:rsidRPr="008C1CF1">
        <w:rPr>
          <w:rFonts w:ascii="Palatino Linotype" w:hAnsi="Palatino Linotype"/>
          <w:bCs/>
          <w:sz w:val="22"/>
          <w:szCs w:val="22"/>
        </w:rPr>
        <w:t xml:space="preserve"> </w:t>
      </w:r>
      <w:r w:rsidR="00A05119" w:rsidRPr="008C1CF1">
        <w:rPr>
          <w:rFonts w:ascii="Palatino Linotype" w:hAnsi="Palatino Linotype"/>
          <w:bCs/>
          <w:sz w:val="22"/>
          <w:szCs w:val="22"/>
        </w:rPr>
        <w:fldChar w:fldCharType="begin" w:fldLock="1"/>
      </w:r>
      <w:r w:rsidR="00894F24" w:rsidRPr="008C1CF1">
        <w:rPr>
          <w:rFonts w:ascii="Palatino Linotype" w:hAnsi="Palatino Linotype"/>
          <w:bCs/>
          <w:sz w:val="22"/>
          <w:szCs w:val="22"/>
        </w:rPr>
        <w:instrText xml:space="preserve"> ADDIN ZOTERO_ITEM CSL_CITATION {"citationID":"5Y8SLaQh","properties":{"formattedCitation":"(Lestari et al., 2023)","plainCitation":"(Lestari et al., 2023)","noteIndex":0},"citationItems":[{"id":"nZVJAETE/cOrdLsqw","uris":["http://www.mendeley.com/documents/?uuid=bbb4e9e6-d1dd-4664-b212-0ce29b850a3c"],"itemData":{"author":[{"dropping-particle":"","family":"Lestari","given":"Nyoman Ayu Putri","non-dropping-particle":"","parse-names":false,"suffix":""},{"dropping-particle":"","family":"Wati","given":"Ni Nyoman Kurnia","non-dropping-particle":"","parse-names":false,"suffix":""},{"dropping-particle":"","family":"Sudiana","given":"I Nyoman","non-dropping-particle":"","parse-names":false,"suffix":""},{"dropping-particle":"","family":"Putrayasa","given":"Ida Bagus","non-dropping-particle":"","parse-names":false,"suffix":""}],"container-title":"Jurnal Ilmiah Pendidikan Citra Bakti","id":"ITEM-1","issue":"2","issued":{"date-parts":[["2023"]]},"title":"Pengembangan Lembar Kerja Siswa Bahasa Indonesia Berorientasi Keterampilan Proses Dalam Meningkatkan Kemandirian Belajar Siswa SD","type":"article-journal","volume":"10"}}],"schema":"https://github.com/citation-style-language/schema/raw/master/csl-citation.json"} </w:instrText>
      </w:r>
      <w:r w:rsidR="00A05119" w:rsidRPr="008C1CF1">
        <w:rPr>
          <w:rFonts w:ascii="Palatino Linotype" w:hAnsi="Palatino Linotype"/>
          <w:bCs/>
          <w:sz w:val="22"/>
          <w:szCs w:val="22"/>
        </w:rPr>
        <w:fldChar w:fldCharType="separate"/>
      </w:r>
      <w:r w:rsidR="00894F24" w:rsidRPr="008C1CF1">
        <w:rPr>
          <w:rFonts w:ascii="Palatino Linotype" w:hAnsi="Palatino Linotype"/>
          <w:bCs/>
          <w:noProof/>
          <w:sz w:val="22"/>
          <w:szCs w:val="22"/>
        </w:rPr>
        <w:t>(Lestari et al., 2023)</w:t>
      </w:r>
      <w:r w:rsidR="00A05119" w:rsidRPr="008C1CF1">
        <w:rPr>
          <w:rFonts w:ascii="Palatino Linotype" w:hAnsi="Palatino Linotype"/>
          <w:bCs/>
          <w:sz w:val="22"/>
          <w:szCs w:val="22"/>
        </w:rPr>
        <w:fldChar w:fldCharType="end"/>
      </w:r>
      <w:r w:rsidR="00140449" w:rsidRPr="008C1CF1">
        <w:rPr>
          <w:rFonts w:ascii="Palatino Linotype" w:hAnsi="Palatino Linotype"/>
          <w:bCs/>
          <w:sz w:val="22"/>
          <w:szCs w:val="22"/>
        </w:rPr>
        <w:t xml:space="preserve">. Another study by </w:t>
      </w:r>
      <w:proofErr w:type="spellStart"/>
      <w:r w:rsidR="00140449" w:rsidRPr="008C1CF1">
        <w:rPr>
          <w:rFonts w:ascii="Palatino Linotype" w:hAnsi="Palatino Linotype"/>
          <w:bCs/>
          <w:sz w:val="22"/>
          <w:szCs w:val="22"/>
        </w:rPr>
        <w:t>Haryanti</w:t>
      </w:r>
      <w:proofErr w:type="spellEnd"/>
      <w:r w:rsidR="00140449" w:rsidRPr="008C1CF1">
        <w:rPr>
          <w:rFonts w:ascii="Palatino Linotype" w:hAnsi="Palatino Linotype"/>
          <w:bCs/>
          <w:sz w:val="22"/>
          <w:szCs w:val="22"/>
        </w:rPr>
        <w:t xml:space="preserve"> et al. developed problem-based Braille mathematics worksheets and found that the products were categorized as valid and practical and contributed to the learning autonomy of visually impaired students</w:t>
      </w:r>
      <w:r w:rsidR="00B425DE" w:rsidRPr="008C1CF1">
        <w:rPr>
          <w:rFonts w:ascii="Palatino Linotype" w:hAnsi="Palatino Linotype"/>
          <w:bCs/>
          <w:sz w:val="22"/>
          <w:szCs w:val="22"/>
        </w:rPr>
        <w:t xml:space="preserve"> </w:t>
      </w:r>
      <w:r w:rsidR="00F12319" w:rsidRPr="008C1CF1">
        <w:rPr>
          <w:rFonts w:ascii="Palatino Linotype" w:hAnsi="Palatino Linotype"/>
          <w:bCs/>
          <w:sz w:val="22"/>
          <w:szCs w:val="22"/>
        </w:rPr>
        <w:fldChar w:fldCharType="begin" w:fldLock="1"/>
      </w:r>
      <w:r w:rsidR="00894F24" w:rsidRPr="008C1CF1">
        <w:rPr>
          <w:rFonts w:ascii="Palatino Linotype" w:hAnsi="Palatino Linotype"/>
          <w:bCs/>
          <w:sz w:val="22"/>
          <w:szCs w:val="22"/>
        </w:rPr>
        <w:instrText xml:space="preserve"> ADDIN ZOTERO_ITEM CSL_CITATION {"citationID":"lIJ5MG0T","properties":{"formattedCitation":"(Haryanti et al., 2023)","plainCitation":"(Haryanti et al., 2023)","noteIndex":0},"citationItems":[{"id":"nZVJAETE/bitElfp9","uris":["http://www.mendeley.com/documents/?uuid=38c33b86-f33b-4058-b6aa-d87b60413d18"],"itemData":{"author":[{"dropping-particle":"","family":"Haryanti","given":"Choirunisa Firda","non-dropping-particle":"","parse-names":false,"suffix":""},{"dropping-particle":"","family":"Wijayanti","given":"Pradnyo","non-dropping-particle":"","parse-names":false,"suffix":""},{"dropping-particle":"","family":"Winarti","given":"Atik","non-dropping-particle":"","parse-names":false,"suffix":""}],"container-title":"Pi: Mathematics Education Journal","id":"ITEM-1","issue":"2","issued":{"date-parts":[["2023"]]},"title":"Pengembangan Lembar Kerja Siswa (LKS) Matematika Braille Berbasis Masalah Dengan Bantuan Audio Untuk Meningkatkan Kemandirian Belajar Siswa Tunanetra","type":"article-journal","volume":"6"}}],"schema":"https://github.com/citation-style-language/schema/raw/master/csl-citation.json"} </w:instrText>
      </w:r>
      <w:r w:rsidR="00F12319" w:rsidRPr="008C1CF1">
        <w:rPr>
          <w:rFonts w:ascii="Palatino Linotype" w:hAnsi="Palatino Linotype"/>
          <w:bCs/>
          <w:sz w:val="22"/>
          <w:szCs w:val="22"/>
        </w:rPr>
        <w:fldChar w:fldCharType="separate"/>
      </w:r>
      <w:r w:rsidR="00894F24" w:rsidRPr="008C1CF1">
        <w:rPr>
          <w:rFonts w:ascii="Palatino Linotype" w:hAnsi="Palatino Linotype"/>
          <w:bCs/>
          <w:noProof/>
          <w:sz w:val="22"/>
          <w:szCs w:val="22"/>
        </w:rPr>
        <w:t>(Haryanti et al., 2023)</w:t>
      </w:r>
      <w:r w:rsidR="00F12319" w:rsidRPr="008C1CF1">
        <w:rPr>
          <w:rFonts w:ascii="Palatino Linotype" w:hAnsi="Palatino Linotype"/>
          <w:bCs/>
          <w:sz w:val="22"/>
          <w:szCs w:val="22"/>
        </w:rPr>
        <w:fldChar w:fldCharType="end"/>
      </w:r>
      <w:r w:rsidR="00140449" w:rsidRPr="008C1CF1">
        <w:rPr>
          <w:rFonts w:ascii="Palatino Linotype" w:hAnsi="Palatino Linotype"/>
          <w:bCs/>
          <w:sz w:val="22"/>
          <w:szCs w:val="22"/>
        </w:rPr>
        <w:t>. These findings indicate that the characteristics and design of worksheets are linked to students’ opportunities to engage in learning activities more independently.</w:t>
      </w:r>
    </w:p>
    <w:p w14:paraId="09D1DC61" w14:textId="4B3D43C4" w:rsidR="00140449" w:rsidRPr="008C1CF1" w:rsidRDefault="00650B5D" w:rsidP="003C7727">
      <w:pPr>
        <w:spacing w:line="360" w:lineRule="auto"/>
        <w:ind w:firstLine="709"/>
        <w:contextualSpacing/>
        <w:jc w:val="both"/>
        <w:rPr>
          <w:rFonts w:ascii="Palatino Linotype" w:hAnsi="Palatino Linotype"/>
          <w:bCs/>
          <w:sz w:val="22"/>
          <w:szCs w:val="22"/>
        </w:rPr>
      </w:pPr>
      <w:r w:rsidRPr="008C1CF1">
        <w:rPr>
          <w:rFonts w:ascii="Palatino Linotype" w:hAnsi="Palatino Linotype"/>
          <w:bCs/>
          <w:sz w:val="22"/>
          <w:szCs w:val="22"/>
        </w:rPr>
        <w:t>Recent</w:t>
      </w:r>
      <w:r w:rsidR="00140449" w:rsidRPr="008C1CF1">
        <w:rPr>
          <w:rFonts w:ascii="Palatino Linotype" w:hAnsi="Palatino Linotype"/>
          <w:bCs/>
          <w:sz w:val="22"/>
          <w:szCs w:val="22"/>
        </w:rPr>
        <w:t xml:space="preserve"> research </w:t>
      </w:r>
      <w:r w:rsidRPr="008C1CF1">
        <w:rPr>
          <w:rFonts w:ascii="Palatino Linotype" w:hAnsi="Palatino Linotype"/>
          <w:bCs/>
          <w:sz w:val="22"/>
          <w:szCs w:val="22"/>
        </w:rPr>
        <w:t>shows</w:t>
      </w:r>
      <w:r w:rsidR="00140449" w:rsidRPr="008C1CF1">
        <w:rPr>
          <w:rFonts w:ascii="Palatino Linotype" w:hAnsi="Palatino Linotype"/>
          <w:bCs/>
          <w:sz w:val="22"/>
          <w:szCs w:val="22"/>
        </w:rPr>
        <w:t xml:space="preserve"> that studies on worksheets are not limited to printed instructional materials. Juliana et al. developed digital student worksheets and linked them to increased learning independence, demonstrating that worksheets can be de</w:t>
      </w:r>
      <w:r w:rsidRPr="008C1CF1">
        <w:rPr>
          <w:rFonts w:ascii="Palatino Linotype" w:hAnsi="Palatino Linotype"/>
          <w:bCs/>
          <w:sz w:val="22"/>
          <w:szCs w:val="22"/>
        </w:rPr>
        <w:t>sign</w:t>
      </w:r>
      <w:r w:rsidR="00140449" w:rsidRPr="008C1CF1">
        <w:rPr>
          <w:rFonts w:ascii="Palatino Linotype" w:hAnsi="Palatino Linotype"/>
          <w:bCs/>
          <w:sz w:val="22"/>
          <w:szCs w:val="22"/>
        </w:rPr>
        <w:t xml:space="preserve">ed in more interactive formats </w:t>
      </w:r>
      <w:r w:rsidRPr="008C1CF1">
        <w:rPr>
          <w:rFonts w:ascii="Palatino Linotype" w:hAnsi="Palatino Linotype"/>
          <w:bCs/>
          <w:sz w:val="22"/>
          <w:szCs w:val="22"/>
        </w:rPr>
        <w:t>that</w:t>
      </w:r>
      <w:r w:rsidR="00140449" w:rsidRPr="008C1CF1">
        <w:rPr>
          <w:rFonts w:ascii="Palatino Linotype" w:hAnsi="Palatino Linotype"/>
          <w:bCs/>
          <w:sz w:val="22"/>
          <w:szCs w:val="22"/>
        </w:rPr>
        <w:t xml:space="preserve"> </w:t>
      </w:r>
      <w:r w:rsidRPr="008C1CF1">
        <w:rPr>
          <w:rFonts w:ascii="Palatino Linotype" w:hAnsi="Palatino Linotype"/>
          <w:bCs/>
          <w:sz w:val="22"/>
          <w:szCs w:val="22"/>
        </w:rPr>
        <w:t>align</w:t>
      </w:r>
      <w:r w:rsidR="00140449" w:rsidRPr="008C1CF1">
        <w:rPr>
          <w:rFonts w:ascii="Palatino Linotype" w:hAnsi="Palatino Linotype"/>
          <w:bCs/>
          <w:sz w:val="22"/>
          <w:szCs w:val="22"/>
        </w:rPr>
        <w:t xml:space="preserve"> with the demands of student-</w:t>
      </w:r>
      <w:proofErr w:type="spellStart"/>
      <w:r w:rsidR="00140449" w:rsidRPr="008C1CF1">
        <w:rPr>
          <w:rFonts w:ascii="Palatino Linotype" w:hAnsi="Palatino Linotype"/>
          <w:bCs/>
          <w:sz w:val="22"/>
          <w:szCs w:val="22"/>
        </w:rPr>
        <w:t>centered</w:t>
      </w:r>
      <w:proofErr w:type="spellEnd"/>
      <w:r w:rsidR="00140449" w:rsidRPr="008C1CF1">
        <w:rPr>
          <w:rFonts w:ascii="Palatino Linotype" w:hAnsi="Palatino Linotype"/>
          <w:bCs/>
          <w:sz w:val="22"/>
          <w:szCs w:val="22"/>
        </w:rPr>
        <w:t xml:space="preserve"> learning</w:t>
      </w:r>
      <w:r w:rsidRPr="008C1CF1">
        <w:rPr>
          <w:rFonts w:ascii="Palatino Linotype" w:hAnsi="Palatino Linotype"/>
          <w:bCs/>
          <w:sz w:val="22"/>
          <w:szCs w:val="22"/>
        </w:rPr>
        <w:t xml:space="preserve">, </w:t>
      </w:r>
      <w:r w:rsidR="00F12319" w:rsidRPr="008C1CF1">
        <w:rPr>
          <w:rFonts w:ascii="Palatino Linotype" w:hAnsi="Palatino Linotype"/>
          <w:bCs/>
          <w:sz w:val="22"/>
          <w:szCs w:val="22"/>
        </w:rPr>
        <w:fldChar w:fldCharType="begin" w:fldLock="1"/>
      </w:r>
      <w:r w:rsidR="00985830" w:rsidRPr="008C1CF1">
        <w:rPr>
          <w:rFonts w:ascii="Palatino Linotype" w:hAnsi="Palatino Linotype"/>
          <w:bCs/>
          <w:sz w:val="22"/>
          <w:szCs w:val="22"/>
        </w:rPr>
        <w:instrText xml:space="preserve"> ADDIN ZOTERO_ITEM CSL_CITATION {"citationID":"Xywuaevt","properties":{"formattedCitation":"(Juliana, Ampera, &amp; Sinukaban, 2024)","plainCitation":"(Juliana, Ampera, &amp; Sinukaban, 2024)","noteIndex":0},"citationItems":[{"id":"nZVJAETE/vna0ie15","uris":["http://www.mendeley.com/documents/?uuid=d12cefc4-5595-4b62-b7e7-a3e553b2189f"],"itemData":{"author":[{"dropping-particle":"","family":"Juliana","given":"Netty","non-dropping-particle":"","parse-names":false,"suffix":""},{"dropping-particle":"","family":"Ampera","given":"Dina","non-dropping-particle":"","parse-names":false,"suffix":""},{"dropping-particle":"","family":"Sinukaban","given":"Veronika Yulisna","non-dropping-particle":"","parse-names":false,"suffix":""}],"container-title":"Journal of Education Technology","id":"ITEM-1","issue":"1","issued":{"date-parts":[["2024"]]},"page":"31-41","title":"Digital Student Worksheets to Improving Students ' Learning Independence","type":"article-journal","volume":"8"}}],"schema":"https://github.com/citation-style-language/schema/raw/master/csl-citation.json"} </w:instrText>
      </w:r>
      <w:r w:rsidR="00F12319" w:rsidRPr="008C1CF1">
        <w:rPr>
          <w:rFonts w:ascii="Palatino Linotype" w:hAnsi="Palatino Linotype"/>
          <w:bCs/>
          <w:sz w:val="22"/>
          <w:szCs w:val="22"/>
        </w:rPr>
        <w:fldChar w:fldCharType="separate"/>
      </w:r>
      <w:r w:rsidR="00985830" w:rsidRPr="008C1CF1">
        <w:rPr>
          <w:rFonts w:ascii="Palatino Linotype" w:hAnsi="Palatino Linotype"/>
          <w:bCs/>
          <w:noProof/>
          <w:sz w:val="22"/>
          <w:szCs w:val="22"/>
        </w:rPr>
        <w:t>(Juliana, Ampera, &amp; Sinukaban, 2024)</w:t>
      </w:r>
      <w:r w:rsidR="00F12319" w:rsidRPr="008C1CF1">
        <w:rPr>
          <w:rFonts w:ascii="Palatino Linotype" w:hAnsi="Palatino Linotype"/>
          <w:bCs/>
          <w:sz w:val="22"/>
          <w:szCs w:val="22"/>
        </w:rPr>
        <w:fldChar w:fldCharType="end"/>
      </w:r>
      <w:r w:rsidR="00140449" w:rsidRPr="008C1CF1">
        <w:rPr>
          <w:rFonts w:ascii="Palatino Linotype" w:hAnsi="Palatino Linotype"/>
          <w:bCs/>
          <w:sz w:val="22"/>
          <w:szCs w:val="22"/>
        </w:rPr>
        <w:t xml:space="preserve">. Other research on RADEC-based worksheets also identifies learning autonomy as </w:t>
      </w:r>
      <w:r w:rsidRPr="008C1CF1">
        <w:rPr>
          <w:rFonts w:ascii="Palatino Linotype" w:hAnsi="Palatino Linotype"/>
          <w:bCs/>
          <w:sz w:val="22"/>
          <w:szCs w:val="22"/>
        </w:rPr>
        <w:t>a</w:t>
      </w:r>
      <w:r w:rsidR="00140449" w:rsidRPr="008C1CF1">
        <w:rPr>
          <w:rFonts w:ascii="Palatino Linotype" w:hAnsi="Palatino Linotype"/>
          <w:bCs/>
          <w:sz w:val="22"/>
          <w:szCs w:val="22"/>
        </w:rPr>
        <w:t xml:space="preserve"> skill that can be developed through structured learning activities</w:t>
      </w:r>
      <w:r w:rsidR="00086FF6" w:rsidRPr="008C1CF1">
        <w:rPr>
          <w:rFonts w:ascii="Palatino Linotype" w:hAnsi="Palatino Linotype"/>
          <w:bCs/>
          <w:sz w:val="22"/>
          <w:szCs w:val="22"/>
        </w:rPr>
        <w:t xml:space="preserve"> </w:t>
      </w:r>
      <w:r w:rsidR="00AB68FE" w:rsidRPr="008C1CF1">
        <w:rPr>
          <w:rFonts w:ascii="Palatino Linotype" w:hAnsi="Palatino Linotype"/>
          <w:bCs/>
          <w:sz w:val="22"/>
          <w:szCs w:val="22"/>
        </w:rPr>
        <w:fldChar w:fldCharType="begin" w:fldLock="1"/>
      </w:r>
      <w:r w:rsidR="00A43901" w:rsidRPr="008C1CF1">
        <w:rPr>
          <w:rFonts w:ascii="Palatino Linotype" w:hAnsi="Palatino Linotype"/>
          <w:bCs/>
          <w:sz w:val="22"/>
          <w:szCs w:val="22"/>
        </w:rPr>
        <w:instrText xml:space="preserve"> ADDIN ZOTERO_ITEM CSL_CITATION {"citationID":"60n7IH7N","properties":{"formattedCitation":"(Milaningsih &amp; Sartono, 2025a)","plainCitation":"(Milaningsih &amp; Sartono, 2025a)","noteIndex":0},"citationItems":[{"id":"nZVJAETE/2jg3BMji","uris":["http://www.mendeley.com/documents/?uuid=828c30c8-9174-43c0-9eb9-52b1f084b195"],"itemData":{"author":[{"dropping-particle":"","family":"Milaningsih","given":"Marlita Diah","non-dropping-particle":"","parse-names":false,"suffix":""},{"dropping-particle":"","family":"Sartono","given":"E. Kus Eddy","non-dropping-particle":"","parse-names":false,"suffix":""}],"container-title":"Jurnal Pendidikan Indonesia","id":"ITEM-1","issue":"3","issued":{"date-parts":[["2025"]]},"title":"RADEC Learning-Based LKPD to Improve Concept Understanding and Learning Independence","type":"article-journal","volume":"14"}}],"schema":"https://github.com/citation-style-language/schema/raw/master/csl-citation.json"} </w:instrText>
      </w:r>
      <w:r w:rsidR="00AB68FE" w:rsidRPr="008C1CF1">
        <w:rPr>
          <w:rFonts w:ascii="Palatino Linotype" w:hAnsi="Palatino Linotype"/>
          <w:bCs/>
          <w:sz w:val="22"/>
          <w:szCs w:val="22"/>
        </w:rPr>
        <w:fldChar w:fldCharType="separate"/>
      </w:r>
      <w:r w:rsidR="00A43901" w:rsidRPr="008C1CF1">
        <w:rPr>
          <w:rFonts w:ascii="Palatino Linotype" w:hAnsi="Palatino Linotype"/>
          <w:bCs/>
          <w:noProof/>
          <w:sz w:val="22"/>
          <w:szCs w:val="22"/>
        </w:rPr>
        <w:t>(Milaningsih &amp; Sartono, 2025a)</w:t>
      </w:r>
      <w:r w:rsidR="00AB68FE" w:rsidRPr="008C1CF1">
        <w:rPr>
          <w:rFonts w:ascii="Palatino Linotype" w:hAnsi="Palatino Linotype"/>
          <w:bCs/>
          <w:sz w:val="22"/>
          <w:szCs w:val="22"/>
        </w:rPr>
        <w:fldChar w:fldCharType="end"/>
      </w:r>
      <w:r w:rsidR="00140449" w:rsidRPr="008C1CF1">
        <w:rPr>
          <w:rFonts w:ascii="Palatino Linotype" w:hAnsi="Palatino Linotype"/>
          <w:bCs/>
          <w:sz w:val="22"/>
          <w:szCs w:val="22"/>
        </w:rPr>
        <w:t>. These developments indicate that research attention has been primarily directed toward the development and testing of the effectiveness of student worksheet products</w:t>
      </w:r>
      <w:r w:rsidRPr="008C1CF1">
        <w:rPr>
          <w:rFonts w:ascii="Palatino Linotype" w:hAnsi="Palatino Linotype"/>
          <w:bCs/>
          <w:sz w:val="22"/>
          <w:szCs w:val="22"/>
        </w:rPr>
        <w:t>.</w:t>
      </w:r>
      <w:r w:rsidR="00140449" w:rsidRPr="008C1CF1">
        <w:rPr>
          <w:rFonts w:ascii="Palatino Linotype" w:hAnsi="Palatino Linotype"/>
          <w:bCs/>
          <w:sz w:val="22"/>
          <w:szCs w:val="22"/>
        </w:rPr>
        <w:t xml:space="preserve"> </w:t>
      </w:r>
      <w:r w:rsidRPr="008C1CF1">
        <w:rPr>
          <w:rFonts w:ascii="Palatino Linotype" w:hAnsi="Palatino Linotype"/>
          <w:bCs/>
          <w:sz w:val="22"/>
          <w:szCs w:val="22"/>
        </w:rPr>
        <w:t>In contrast,</w:t>
      </w:r>
      <w:r w:rsidR="00140449" w:rsidRPr="008C1CF1">
        <w:rPr>
          <w:rFonts w:ascii="Palatino Linotype" w:hAnsi="Palatino Linotype"/>
          <w:bCs/>
          <w:sz w:val="22"/>
          <w:szCs w:val="22"/>
        </w:rPr>
        <w:t xml:space="preserve"> the actual use of worksheets in instruction and students’ experiences when interacting with them still need to be examined </w:t>
      </w:r>
      <w:r w:rsidRPr="008C1CF1">
        <w:rPr>
          <w:rFonts w:ascii="Palatino Linotype" w:hAnsi="Palatino Linotype"/>
          <w:bCs/>
          <w:sz w:val="22"/>
          <w:szCs w:val="22"/>
        </w:rPr>
        <w:t>in context</w:t>
      </w:r>
      <w:r w:rsidR="00140449" w:rsidRPr="008C1CF1">
        <w:rPr>
          <w:rFonts w:ascii="Palatino Linotype" w:hAnsi="Palatino Linotype"/>
          <w:bCs/>
          <w:sz w:val="22"/>
          <w:szCs w:val="22"/>
        </w:rPr>
        <w:t>.</w:t>
      </w:r>
    </w:p>
    <w:p w14:paraId="507E8DB3" w14:textId="378F46C5" w:rsidR="00302E97" w:rsidRPr="008C1CF1" w:rsidRDefault="00175F4E" w:rsidP="001C3962">
      <w:pPr>
        <w:spacing w:line="360" w:lineRule="auto"/>
        <w:ind w:firstLine="709"/>
        <w:contextualSpacing/>
        <w:jc w:val="both"/>
        <w:rPr>
          <w:rFonts w:ascii="Palatino Linotype" w:hAnsi="Palatino Linotype"/>
          <w:bCs/>
          <w:sz w:val="22"/>
          <w:szCs w:val="22"/>
          <w:lang w:val="en-ID"/>
        </w:rPr>
      </w:pPr>
      <w:r w:rsidRPr="008C1CF1">
        <w:rPr>
          <w:rFonts w:ascii="Palatino Linotype" w:hAnsi="Palatino Linotype"/>
          <w:bCs/>
          <w:sz w:val="22"/>
          <w:szCs w:val="22"/>
          <w:lang w:val="en-ID"/>
        </w:rPr>
        <w:t xml:space="preserve">Previous research on Student Worksheets has emphasized product validity, practicality, and effectiveness, leaving less attention to how worksheets are used in classroom interactions to support students’ independent learning. Initial observations at </w:t>
      </w:r>
      <w:proofErr w:type="spellStart"/>
      <w:r w:rsidRPr="008C1CF1">
        <w:rPr>
          <w:rFonts w:ascii="Palatino Linotype" w:hAnsi="Palatino Linotype"/>
          <w:bCs/>
          <w:sz w:val="22"/>
          <w:szCs w:val="22"/>
          <w:lang w:val="en-ID"/>
        </w:rPr>
        <w:t>MTsN</w:t>
      </w:r>
      <w:proofErr w:type="spellEnd"/>
      <w:r w:rsidRPr="008C1CF1">
        <w:rPr>
          <w:rFonts w:ascii="Palatino Linotype" w:hAnsi="Palatino Linotype"/>
          <w:bCs/>
          <w:sz w:val="22"/>
          <w:szCs w:val="22"/>
          <w:lang w:val="en-ID"/>
        </w:rPr>
        <w:t xml:space="preserve"> 5 Kota Jambi on December 9, 2025, showed that some students </w:t>
      </w:r>
      <w:r w:rsidR="00650B5D" w:rsidRPr="008C1CF1">
        <w:rPr>
          <w:rFonts w:ascii="Palatino Linotype" w:hAnsi="Palatino Linotype"/>
          <w:bCs/>
          <w:sz w:val="22"/>
          <w:szCs w:val="22"/>
          <w:lang w:val="en-ID"/>
        </w:rPr>
        <w:t>were still waiting for the teacher's instructions, lacked confidence in completing tasks independently, and struggled with questions that did not align with</w:t>
      </w:r>
      <w:r w:rsidRPr="008C1CF1">
        <w:rPr>
          <w:rFonts w:ascii="Palatino Linotype" w:hAnsi="Palatino Linotype"/>
          <w:bCs/>
          <w:sz w:val="22"/>
          <w:szCs w:val="22"/>
          <w:lang w:val="en-ID"/>
        </w:rPr>
        <w:t xml:space="preserve"> the worksheet </w:t>
      </w:r>
      <w:r w:rsidRPr="008C1CF1">
        <w:rPr>
          <w:rFonts w:ascii="Palatino Linotype" w:hAnsi="Palatino Linotype"/>
          <w:bCs/>
          <w:sz w:val="22"/>
          <w:szCs w:val="22"/>
          <w:lang w:val="en-ID"/>
        </w:rPr>
        <w:lastRenderedPageBreak/>
        <w:t>material. These observations highlight the need to examine how worksheet use relates to students’ independent learning in everyday classroom practice.</w:t>
      </w:r>
      <w:r w:rsidR="001C3962" w:rsidRPr="008C1CF1">
        <w:rPr>
          <w:rFonts w:ascii="Palatino Linotype" w:hAnsi="Palatino Linotype"/>
          <w:bCs/>
          <w:sz w:val="22"/>
          <w:szCs w:val="22"/>
          <w:lang w:val="en-ID"/>
        </w:rPr>
        <w:t xml:space="preserve"> </w:t>
      </w:r>
      <w:r w:rsidRPr="008C1CF1">
        <w:rPr>
          <w:rFonts w:ascii="Palatino Linotype" w:hAnsi="Palatino Linotype"/>
          <w:bCs/>
          <w:sz w:val="22"/>
          <w:szCs w:val="22"/>
          <w:lang w:val="en-ID"/>
        </w:rPr>
        <w:t xml:space="preserve">The novelty of this study lies in its examination of worksheet use through teacher guidance, students’ experiences, and observed independent learning </w:t>
      </w:r>
      <w:proofErr w:type="spellStart"/>
      <w:r w:rsidRPr="008C1CF1">
        <w:rPr>
          <w:rFonts w:ascii="Palatino Linotype" w:hAnsi="Palatino Linotype"/>
          <w:bCs/>
          <w:sz w:val="22"/>
          <w:szCs w:val="22"/>
          <w:lang w:val="en-ID"/>
        </w:rPr>
        <w:t>behaviors</w:t>
      </w:r>
      <w:proofErr w:type="spellEnd"/>
      <w:r w:rsidRPr="008C1CF1">
        <w:rPr>
          <w:rFonts w:ascii="Palatino Linotype" w:hAnsi="Palatino Linotype"/>
          <w:bCs/>
          <w:sz w:val="22"/>
          <w:szCs w:val="22"/>
          <w:lang w:val="en-ID"/>
        </w:rPr>
        <w:t xml:space="preserve"> in eighth-grade Al-Qur’an and Hadith lessons. Accordingly, this study aims to describe how </w:t>
      </w:r>
      <w:r w:rsidR="00B425DE" w:rsidRPr="008C1CF1">
        <w:rPr>
          <w:rFonts w:ascii="Palatino Linotype" w:hAnsi="Palatino Linotype"/>
          <w:bCs/>
          <w:sz w:val="22"/>
          <w:szCs w:val="22"/>
          <w:lang w:val="en-ID"/>
        </w:rPr>
        <w:t xml:space="preserve">student worksheets </w:t>
      </w:r>
      <w:r w:rsidRPr="008C1CF1">
        <w:rPr>
          <w:rFonts w:ascii="Palatino Linotype" w:hAnsi="Palatino Linotype"/>
          <w:bCs/>
          <w:sz w:val="22"/>
          <w:szCs w:val="22"/>
          <w:lang w:val="en-ID"/>
        </w:rPr>
        <w:t xml:space="preserve">are used at </w:t>
      </w:r>
      <w:proofErr w:type="spellStart"/>
      <w:r w:rsidRPr="008C1CF1">
        <w:rPr>
          <w:rFonts w:ascii="Palatino Linotype" w:hAnsi="Palatino Linotype"/>
          <w:bCs/>
          <w:sz w:val="22"/>
          <w:szCs w:val="22"/>
          <w:lang w:val="en-ID"/>
        </w:rPr>
        <w:t>MTsN</w:t>
      </w:r>
      <w:proofErr w:type="spellEnd"/>
      <w:r w:rsidRPr="008C1CF1">
        <w:rPr>
          <w:rFonts w:ascii="Palatino Linotype" w:hAnsi="Palatino Linotype"/>
          <w:bCs/>
          <w:sz w:val="22"/>
          <w:szCs w:val="22"/>
          <w:lang w:val="en-ID"/>
        </w:rPr>
        <w:t xml:space="preserve"> 5 Kota Jambi, identify manifestations of students’ independent learning during worksheet activities, and examine the factors that support or hinder this process.</w:t>
      </w:r>
    </w:p>
    <w:p w14:paraId="3D829939" w14:textId="77777777" w:rsidR="00175F4E" w:rsidRPr="008C1CF1" w:rsidRDefault="00175F4E" w:rsidP="00175F4E">
      <w:pPr>
        <w:spacing w:line="360" w:lineRule="auto"/>
        <w:ind w:firstLine="709"/>
        <w:contextualSpacing/>
        <w:jc w:val="both"/>
        <w:rPr>
          <w:rFonts w:ascii="Palatino Linotype" w:hAnsi="Palatino Linotype"/>
          <w:bCs/>
          <w:sz w:val="22"/>
          <w:szCs w:val="22"/>
          <w:lang w:val="en-ID"/>
        </w:rPr>
      </w:pPr>
    </w:p>
    <w:p w14:paraId="30BD8583" w14:textId="7690EA4A" w:rsidR="00302E97" w:rsidRPr="008C1CF1" w:rsidRDefault="00302E97" w:rsidP="003C7727">
      <w:pPr>
        <w:spacing w:line="360" w:lineRule="auto"/>
        <w:contextualSpacing/>
        <w:jc w:val="both"/>
        <w:rPr>
          <w:rFonts w:ascii="Palatino Linotype" w:hAnsi="Palatino Linotype"/>
          <w:b/>
          <w:sz w:val="22"/>
          <w:szCs w:val="22"/>
          <w:lang w:val="en-US"/>
        </w:rPr>
      </w:pPr>
      <w:r w:rsidRPr="008C1CF1">
        <w:rPr>
          <w:rFonts w:ascii="Palatino Linotype" w:hAnsi="Palatino Linotype"/>
          <w:b/>
          <w:sz w:val="22"/>
          <w:szCs w:val="22"/>
          <w:lang w:val="en-US"/>
        </w:rPr>
        <w:t xml:space="preserve">METHOD </w:t>
      </w:r>
    </w:p>
    <w:p w14:paraId="030104F3" w14:textId="7A022C13" w:rsidR="008D07DE" w:rsidRPr="008C1CF1" w:rsidRDefault="00175F4E" w:rsidP="008D07DE">
      <w:pPr>
        <w:spacing w:line="360" w:lineRule="auto"/>
        <w:ind w:firstLine="720"/>
        <w:contextualSpacing/>
        <w:jc w:val="both"/>
        <w:rPr>
          <w:rFonts w:ascii="Palatino Linotype" w:hAnsi="Palatino Linotype"/>
          <w:sz w:val="22"/>
          <w:szCs w:val="22"/>
          <w:lang w:val="en-ID"/>
        </w:rPr>
      </w:pPr>
      <w:r w:rsidRPr="008C1CF1">
        <w:rPr>
          <w:rFonts w:ascii="Palatino Linotype" w:hAnsi="Palatino Linotype"/>
          <w:sz w:val="22"/>
          <w:szCs w:val="22"/>
          <w:lang w:val="en-ID"/>
        </w:rPr>
        <w:t>This study used a descriptive qualitative design</w:t>
      </w:r>
      <w:r w:rsidR="001C3962" w:rsidRPr="008C1CF1">
        <w:rPr>
          <w:rFonts w:ascii="Palatino Linotype" w:hAnsi="Palatino Linotype"/>
          <w:sz w:val="22"/>
          <w:szCs w:val="22"/>
          <w:lang w:val="en-ID"/>
        </w:rPr>
        <w:t xml:space="preserve"> </w:t>
      </w:r>
      <w:r w:rsidR="001C3962" w:rsidRPr="008C1CF1">
        <w:rPr>
          <w:rFonts w:ascii="Palatino Linotype" w:hAnsi="Palatino Linotype"/>
          <w:sz w:val="22"/>
          <w:szCs w:val="22"/>
          <w:lang w:val="en-ID"/>
        </w:rPr>
        <w:fldChar w:fldCharType="begin"/>
      </w:r>
      <w:r w:rsidR="001C3962" w:rsidRPr="008C1CF1">
        <w:rPr>
          <w:rFonts w:ascii="Palatino Linotype" w:hAnsi="Palatino Linotype"/>
          <w:sz w:val="22"/>
          <w:szCs w:val="22"/>
          <w:lang w:val="en-ID"/>
        </w:rPr>
        <w:instrText xml:space="preserve"> ADDIN ZOTERO_ITEM CSL_CITATION {"citationID":"Yimuctkt","properties":{"unsorted":false,"formattedCitation":"(Creswell, 2016)","plainCitation":"(Creswell, 2016)","noteIndex":0},"citationItems":[{"id":1573,"uris":["http://zotero.org/users/local/XAaPoWI6/items/KAYYVCMA"],"itemData":{"id":1573,"type":"book","publisher":"Sage Publications","source":"Google Scholar","title":"Research Design: Qualitative, Quantitavie and Mixed Methods Approaches","title-short":"Research design","author":[{"family":"Creswell","given":"John W."}],"issued":{"date-parts":[["2016"]]}}}],"schema":"https://github.com/citation-style-language/schema/raw/master/csl-citation.json"} </w:instrText>
      </w:r>
      <w:r w:rsidR="001C3962" w:rsidRPr="008C1CF1">
        <w:rPr>
          <w:rFonts w:ascii="Palatino Linotype" w:hAnsi="Palatino Linotype"/>
          <w:sz w:val="22"/>
          <w:szCs w:val="22"/>
          <w:lang w:val="en-ID"/>
        </w:rPr>
        <w:fldChar w:fldCharType="separate"/>
      </w:r>
      <w:r w:rsidR="001C3962" w:rsidRPr="008C1CF1">
        <w:rPr>
          <w:rFonts w:ascii="Palatino Linotype" w:hAnsi="Palatino Linotype"/>
          <w:noProof/>
          <w:sz w:val="22"/>
          <w:szCs w:val="22"/>
          <w:lang w:val="en-ID"/>
        </w:rPr>
        <w:t>(Creswell, 2016)</w:t>
      </w:r>
      <w:r w:rsidR="001C3962" w:rsidRPr="008C1CF1">
        <w:rPr>
          <w:rFonts w:ascii="Palatino Linotype" w:hAnsi="Palatino Linotype"/>
          <w:sz w:val="22"/>
          <w:szCs w:val="22"/>
          <w:lang w:val="en-ID"/>
        </w:rPr>
        <w:fldChar w:fldCharType="end"/>
      </w:r>
      <w:r w:rsidRPr="008C1CF1">
        <w:rPr>
          <w:rFonts w:ascii="Palatino Linotype" w:hAnsi="Palatino Linotype"/>
          <w:sz w:val="22"/>
          <w:szCs w:val="22"/>
          <w:lang w:val="en-ID"/>
        </w:rPr>
        <w:t xml:space="preserve"> to examine the use of Student Worksheets and students’ independent learning in eighth-grade Al-Qur’an and Hadith lessons at </w:t>
      </w:r>
      <w:proofErr w:type="spellStart"/>
      <w:r w:rsidRPr="008C1CF1">
        <w:rPr>
          <w:rFonts w:ascii="Palatino Linotype" w:hAnsi="Palatino Linotype"/>
          <w:sz w:val="22"/>
          <w:szCs w:val="22"/>
          <w:lang w:val="en-ID"/>
        </w:rPr>
        <w:t>MTsN</w:t>
      </w:r>
      <w:proofErr w:type="spellEnd"/>
      <w:r w:rsidRPr="008C1CF1">
        <w:rPr>
          <w:rFonts w:ascii="Palatino Linotype" w:hAnsi="Palatino Linotype"/>
          <w:sz w:val="22"/>
          <w:szCs w:val="22"/>
          <w:lang w:val="en-ID"/>
        </w:rPr>
        <w:t xml:space="preserve"> 5 Kota Jambi. Participants were purposively </w:t>
      </w:r>
      <w:r w:rsidR="00650B5D" w:rsidRPr="008C1CF1">
        <w:rPr>
          <w:rFonts w:ascii="Palatino Linotype" w:hAnsi="Palatino Linotype"/>
          <w:sz w:val="22"/>
          <w:szCs w:val="22"/>
          <w:lang w:val="en-ID"/>
        </w:rPr>
        <w:t>select</w:t>
      </w:r>
      <w:r w:rsidRPr="008C1CF1">
        <w:rPr>
          <w:rFonts w:ascii="Palatino Linotype" w:hAnsi="Palatino Linotype"/>
          <w:sz w:val="22"/>
          <w:szCs w:val="22"/>
          <w:lang w:val="en-ID"/>
        </w:rPr>
        <w:t xml:space="preserve">ed </w:t>
      </w:r>
      <w:r w:rsidR="00650B5D" w:rsidRPr="008C1CF1">
        <w:rPr>
          <w:rFonts w:ascii="Palatino Linotype" w:hAnsi="Palatino Linotype"/>
          <w:sz w:val="22"/>
          <w:szCs w:val="22"/>
          <w:lang w:val="en-ID"/>
        </w:rPr>
        <w:t>for</w:t>
      </w:r>
      <w:r w:rsidRPr="008C1CF1">
        <w:rPr>
          <w:rFonts w:ascii="Palatino Linotype" w:hAnsi="Palatino Linotype"/>
          <w:sz w:val="22"/>
          <w:szCs w:val="22"/>
          <w:lang w:val="en-ID"/>
        </w:rPr>
        <w:t xml:space="preserve"> their involvement in worksheet-based learning and co</w:t>
      </w:r>
      <w:r w:rsidR="00650B5D" w:rsidRPr="008C1CF1">
        <w:rPr>
          <w:rFonts w:ascii="Palatino Linotype" w:hAnsi="Palatino Linotype"/>
          <w:sz w:val="22"/>
          <w:szCs w:val="22"/>
          <w:lang w:val="en-ID"/>
        </w:rPr>
        <w:t>mprised</w:t>
      </w:r>
      <w:r w:rsidRPr="008C1CF1">
        <w:rPr>
          <w:rFonts w:ascii="Palatino Linotype" w:hAnsi="Palatino Linotype"/>
          <w:sz w:val="22"/>
          <w:szCs w:val="22"/>
          <w:lang w:val="en-ID"/>
        </w:rPr>
        <w:t xml:space="preserve"> one Al-Qur’an and Hadith teacher, ten eighth-grade students, and one Vice Principal for Curriculum. Data were collected through classroom observations, semi-structured interviews, and document review. Observations focused on how the teacher introduced and guided worksheet activities and how students initiated tasks, followed instructions, managed time, completed assignments, and dealt with difficulties. Teacher interviews explored worksheet implementation, student guidance, and </w:t>
      </w:r>
      <w:r w:rsidR="00650B5D" w:rsidRPr="008C1CF1">
        <w:rPr>
          <w:rFonts w:ascii="Palatino Linotype" w:hAnsi="Palatino Linotype"/>
          <w:sz w:val="22"/>
          <w:szCs w:val="22"/>
          <w:lang w:val="en-ID"/>
        </w:rPr>
        <w:t>the factors that supported</w:t>
      </w:r>
      <w:r w:rsidRPr="008C1CF1">
        <w:rPr>
          <w:rFonts w:ascii="Palatino Linotype" w:hAnsi="Palatino Linotype"/>
          <w:sz w:val="22"/>
          <w:szCs w:val="22"/>
          <w:lang w:val="en-ID"/>
        </w:rPr>
        <w:t xml:space="preserve"> and hinder</w:t>
      </w:r>
      <w:r w:rsidR="00650B5D" w:rsidRPr="008C1CF1">
        <w:rPr>
          <w:rFonts w:ascii="Palatino Linotype" w:hAnsi="Palatino Linotype"/>
          <w:sz w:val="22"/>
          <w:szCs w:val="22"/>
          <w:lang w:val="en-ID"/>
        </w:rPr>
        <w:t>ed</w:t>
      </w:r>
      <w:r w:rsidRPr="008C1CF1">
        <w:rPr>
          <w:rFonts w:ascii="Palatino Linotype" w:hAnsi="Palatino Linotype"/>
          <w:sz w:val="22"/>
          <w:szCs w:val="22"/>
          <w:lang w:val="en-ID"/>
        </w:rPr>
        <w:t xml:space="preserve"> </w:t>
      </w:r>
      <w:r w:rsidR="00650B5D" w:rsidRPr="008C1CF1">
        <w:rPr>
          <w:rFonts w:ascii="Palatino Linotype" w:hAnsi="Palatino Linotype"/>
          <w:sz w:val="22"/>
          <w:szCs w:val="22"/>
          <w:lang w:val="en-ID"/>
        </w:rPr>
        <w:t>implementation</w:t>
      </w:r>
      <w:r w:rsidRPr="008C1CF1">
        <w:rPr>
          <w:rFonts w:ascii="Palatino Linotype" w:hAnsi="Palatino Linotype"/>
          <w:sz w:val="22"/>
          <w:szCs w:val="22"/>
          <w:lang w:val="en-ID"/>
        </w:rPr>
        <w:t>. Student interviews addressed their experiences completing worksheet tasks, studying independently, and seeking assistance, while the Vice Principal for Curriculum was interviewed about school policies and support for worksheet use. The documents reviewed included worksheets, instructional materials, and photographs of learning activities.</w:t>
      </w:r>
    </w:p>
    <w:p w14:paraId="1288C034" w14:textId="0600F7E1" w:rsidR="00270742" w:rsidRPr="008C1CF1" w:rsidRDefault="00175F4E" w:rsidP="001C3962">
      <w:pPr>
        <w:spacing w:line="360" w:lineRule="auto"/>
        <w:ind w:firstLine="720"/>
        <w:contextualSpacing/>
        <w:jc w:val="both"/>
        <w:rPr>
          <w:rFonts w:ascii="Palatino Linotype" w:hAnsi="Palatino Linotype"/>
          <w:sz w:val="22"/>
          <w:szCs w:val="22"/>
          <w:lang w:val="en-ID"/>
        </w:rPr>
      </w:pPr>
      <w:r w:rsidRPr="008C1CF1">
        <w:rPr>
          <w:rFonts w:ascii="Palatino Linotype" w:hAnsi="Palatino Linotype"/>
          <w:sz w:val="22"/>
          <w:szCs w:val="22"/>
          <w:lang w:val="en-ID"/>
        </w:rPr>
        <w:t>Data analysis involved data condensation, data display, and conclusion drawing and verification</w:t>
      </w:r>
      <w:r w:rsidR="005B231A" w:rsidRPr="008C1CF1">
        <w:rPr>
          <w:rFonts w:ascii="Palatino Linotype" w:hAnsi="Palatino Linotype"/>
          <w:sz w:val="22"/>
          <w:szCs w:val="22"/>
          <w:lang w:val="en-ID"/>
        </w:rPr>
        <w:t xml:space="preserve"> </w:t>
      </w:r>
      <w:r w:rsidR="005B231A" w:rsidRPr="008C1CF1">
        <w:rPr>
          <w:rFonts w:ascii="Palatino Linotype" w:hAnsi="Palatino Linotype"/>
          <w:sz w:val="22"/>
          <w:szCs w:val="22"/>
          <w:lang w:val="en-ID"/>
        </w:rPr>
        <w:fldChar w:fldCharType="begin"/>
      </w:r>
      <w:r w:rsidR="005B231A" w:rsidRPr="008C1CF1">
        <w:rPr>
          <w:rFonts w:ascii="Palatino Linotype" w:hAnsi="Palatino Linotype"/>
          <w:sz w:val="22"/>
          <w:szCs w:val="22"/>
          <w:lang w:val="en-ID"/>
        </w:rPr>
        <w:instrText xml:space="preserve"> ADDIN ZOTERO_ITEM CSL_CITATION {"citationID":"PYVNPsEq","properties":{"unsorted":false,"formattedCitation":"(Huberman, 2019)","plainCitation":"(Huberman, 2019)","noteIndex":0},"citationItems":[{"id":1730,"uris":["http://zotero.org/users/local/XAaPoWI6/items/XHWVN5MS"],"itemData":{"id":1730,"type":"article-journal","publisher":"Thousand Oaks, Califorinia SAGE Publications, Inc.","source":"Google Scholar","title":"Qualitative Data Analysis: A Methods Sourcebook","URL":"https://www.sidalc.net/search/Record/KOHA-OAI-ECOSUR:4757/Description","author":[{"family":"Huberman","given":"A."}],"accessed":{"date-parts":[["2025",11,8]]},"issued":{"date-parts":[["2019"]]}}}],"schema":"https://github.com/citation-style-language/schema/raw/master/csl-citation.json"} </w:instrText>
      </w:r>
      <w:r w:rsidR="005B231A" w:rsidRPr="008C1CF1">
        <w:rPr>
          <w:rFonts w:ascii="Palatino Linotype" w:hAnsi="Palatino Linotype"/>
          <w:sz w:val="22"/>
          <w:szCs w:val="22"/>
          <w:lang w:val="en-ID"/>
        </w:rPr>
        <w:fldChar w:fldCharType="separate"/>
      </w:r>
      <w:r w:rsidR="005B231A" w:rsidRPr="008C1CF1">
        <w:rPr>
          <w:rFonts w:ascii="Palatino Linotype" w:hAnsi="Palatino Linotype"/>
          <w:noProof/>
          <w:sz w:val="22"/>
          <w:szCs w:val="22"/>
          <w:lang w:val="en-ID"/>
        </w:rPr>
        <w:t>(Huberman, 2019)</w:t>
      </w:r>
      <w:r w:rsidR="005B231A" w:rsidRPr="008C1CF1">
        <w:rPr>
          <w:rFonts w:ascii="Palatino Linotype" w:hAnsi="Palatino Linotype"/>
          <w:sz w:val="22"/>
          <w:szCs w:val="22"/>
          <w:lang w:val="en-ID"/>
        </w:rPr>
        <w:fldChar w:fldCharType="end"/>
      </w:r>
      <w:r w:rsidRPr="008C1CF1">
        <w:rPr>
          <w:rFonts w:ascii="Palatino Linotype" w:hAnsi="Palatino Linotype"/>
          <w:sz w:val="22"/>
          <w:szCs w:val="22"/>
          <w:lang w:val="en-ID"/>
        </w:rPr>
        <w:t xml:space="preserve">. Observation, interview, and documentary data were selected and grouped into three themes: worksheet use, students’ independent learning, and supporting and hindering factors. Findings were presented as thematic narratives, and conclusions were checked against the evidence from all three data collection techniques. Credibility was examined through source and technique triangulation by comparing the teacher’s, students’, and Vice Principal’s accounts with classroom observations and the reviewed documents. Particular attention was given to whether students’ reported independence was consistent with their observed task completion, time management, problem-solving, and help-seeking </w:t>
      </w:r>
      <w:proofErr w:type="spellStart"/>
      <w:r w:rsidRPr="008C1CF1">
        <w:rPr>
          <w:rFonts w:ascii="Palatino Linotype" w:hAnsi="Palatino Linotype"/>
          <w:sz w:val="22"/>
          <w:szCs w:val="22"/>
          <w:lang w:val="en-ID"/>
        </w:rPr>
        <w:t>behaviors</w:t>
      </w:r>
      <w:proofErr w:type="spellEnd"/>
      <w:r w:rsidR="001C3962" w:rsidRPr="008C1CF1">
        <w:rPr>
          <w:rFonts w:ascii="Palatino Linotype" w:hAnsi="Palatino Linotype"/>
          <w:sz w:val="22"/>
          <w:szCs w:val="22"/>
          <w:lang w:val="en-ID"/>
        </w:rPr>
        <w:t>.</w:t>
      </w:r>
    </w:p>
    <w:p w14:paraId="39BDEC15" w14:textId="670D8A75" w:rsidR="00AE6EED" w:rsidRPr="008C1CF1" w:rsidRDefault="00AE6EED" w:rsidP="008C1CF1">
      <w:pPr>
        <w:spacing w:line="360" w:lineRule="auto"/>
        <w:contextualSpacing/>
        <w:jc w:val="center"/>
        <w:rPr>
          <w:rFonts w:ascii="Palatino Linotype" w:hAnsi="Palatino Linotype"/>
          <w:bCs/>
          <w:sz w:val="22"/>
          <w:szCs w:val="22"/>
        </w:rPr>
      </w:pPr>
      <w:r w:rsidRPr="008C1CF1">
        <w:rPr>
          <w:rFonts w:ascii="Palatino Linotype" w:hAnsi="Palatino Linotype"/>
          <w:b/>
          <w:sz w:val="22"/>
          <w:szCs w:val="22"/>
        </w:rPr>
        <w:lastRenderedPageBreak/>
        <w:t xml:space="preserve">Figure 1. </w:t>
      </w:r>
      <w:r w:rsidRPr="008C1CF1">
        <w:rPr>
          <w:rFonts w:ascii="Palatino Linotype" w:hAnsi="Palatino Linotype"/>
          <w:bCs/>
          <w:sz w:val="22"/>
          <w:szCs w:val="22"/>
        </w:rPr>
        <w:t>Research Framework</w:t>
      </w:r>
    </w:p>
    <w:p w14:paraId="32D4DE48" w14:textId="241E1A30" w:rsidR="00AE6EED" w:rsidRPr="00C4240F" w:rsidRDefault="00AE6EED" w:rsidP="008C1CF1">
      <w:pPr>
        <w:spacing w:line="360" w:lineRule="auto"/>
        <w:contextualSpacing/>
        <w:jc w:val="center"/>
        <w:rPr>
          <w:rFonts w:ascii="Palatino Linotype" w:hAnsi="Palatino Linotype"/>
          <w:bCs/>
          <w:sz w:val="22"/>
          <w:szCs w:val="22"/>
        </w:rPr>
      </w:pPr>
      <w:r>
        <w:rPr>
          <w:rFonts w:ascii="Palatino Linotype" w:hAnsi="Palatino Linotype"/>
          <w:bCs/>
          <w:noProof/>
          <w:sz w:val="22"/>
          <w:szCs w:val="22"/>
        </w:rPr>
        <w:drawing>
          <wp:inline distT="0" distB="0" distL="0" distR="0" wp14:anchorId="31DF6108" wp14:editId="2949ECB7">
            <wp:extent cx="3247200" cy="2822400"/>
            <wp:effectExtent l="0" t="0" r="4445" b="0"/>
            <wp:docPr id="207434089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340897" name="Picture 207434089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47200" cy="2822400"/>
                    </a:xfrm>
                    <a:prstGeom prst="rect">
                      <a:avLst/>
                    </a:prstGeom>
                  </pic:spPr>
                </pic:pic>
              </a:graphicData>
            </a:graphic>
          </wp:inline>
        </w:drawing>
      </w:r>
    </w:p>
    <w:p w14:paraId="3898FD7C" w14:textId="60414E25" w:rsidR="0087610A" w:rsidRPr="00C4240F" w:rsidRDefault="0087610A" w:rsidP="00C4240F">
      <w:pPr>
        <w:spacing w:line="360" w:lineRule="auto"/>
        <w:ind w:firstLine="720"/>
        <w:contextualSpacing/>
        <w:jc w:val="both"/>
        <w:rPr>
          <w:rFonts w:ascii="Palatino Linotype" w:hAnsi="Palatino Linotype"/>
          <w:bCs/>
          <w:sz w:val="22"/>
          <w:szCs w:val="22"/>
        </w:rPr>
      </w:pPr>
    </w:p>
    <w:p w14:paraId="36027956" w14:textId="43D7C18D" w:rsidR="0087610A" w:rsidRPr="000B638B" w:rsidRDefault="0087610A" w:rsidP="000B638B">
      <w:pPr>
        <w:spacing w:line="360" w:lineRule="auto"/>
        <w:contextualSpacing/>
        <w:jc w:val="both"/>
        <w:rPr>
          <w:rFonts w:ascii="Palatino Linotype" w:hAnsi="Palatino Linotype"/>
          <w:b/>
          <w:sz w:val="22"/>
          <w:szCs w:val="22"/>
        </w:rPr>
      </w:pPr>
      <w:r w:rsidRPr="000B638B">
        <w:rPr>
          <w:rFonts w:ascii="Palatino Linotype" w:hAnsi="Palatino Linotype"/>
          <w:b/>
          <w:sz w:val="22"/>
          <w:szCs w:val="22"/>
        </w:rPr>
        <w:t>FINDINGS AND DISCUSSION</w:t>
      </w:r>
    </w:p>
    <w:p w14:paraId="211CFFBE" w14:textId="402196B7" w:rsidR="000B638B" w:rsidRPr="000B638B" w:rsidRDefault="000B638B" w:rsidP="000B638B">
      <w:pPr>
        <w:spacing w:line="360" w:lineRule="auto"/>
        <w:contextualSpacing/>
        <w:jc w:val="both"/>
        <w:rPr>
          <w:rFonts w:ascii="Palatino Linotype" w:hAnsi="Palatino Linotype"/>
          <w:b/>
          <w:sz w:val="22"/>
          <w:szCs w:val="22"/>
        </w:rPr>
      </w:pPr>
      <w:r w:rsidRPr="000B638B">
        <w:rPr>
          <w:rFonts w:ascii="Palatino Linotype" w:hAnsi="Palatino Linotype"/>
          <w:b/>
          <w:sz w:val="22"/>
          <w:szCs w:val="22"/>
        </w:rPr>
        <w:t>Findings</w:t>
      </w:r>
    </w:p>
    <w:p w14:paraId="4F38AA84" w14:textId="204FFC24" w:rsidR="00395876" w:rsidRPr="00395876" w:rsidRDefault="00395876" w:rsidP="00AD0A28">
      <w:pPr>
        <w:spacing w:line="360" w:lineRule="auto"/>
        <w:ind w:firstLine="720"/>
        <w:jc w:val="both"/>
        <w:rPr>
          <w:rFonts w:ascii="Palatino Linotype" w:eastAsia="Garamond" w:hAnsi="Palatino Linotype" w:cs="Garamond"/>
          <w:sz w:val="22"/>
          <w:szCs w:val="22"/>
          <w:lang w:val="en-ID"/>
        </w:rPr>
      </w:pPr>
      <w:r w:rsidRPr="00395876">
        <w:rPr>
          <w:rFonts w:ascii="Palatino Linotype" w:eastAsia="Garamond" w:hAnsi="Palatino Linotype" w:cs="Garamond"/>
          <w:sz w:val="22"/>
          <w:szCs w:val="22"/>
          <w:lang w:val="en-ID"/>
        </w:rPr>
        <w:t>The findings are organized into three areas: the use of Student Worksheets in classroom activities, students’ independent learning during worksheet use, and supporting and inhibiting factors. The tables present interview accounts and classroom observations. G1 refers to the Al-Qur’an and Hadith teacher, WK to the Vice Principal for Curriculum, and S1–S10 to student participants.</w:t>
      </w:r>
    </w:p>
    <w:p w14:paraId="4BF27433" w14:textId="575B77D5" w:rsidR="00395876" w:rsidRPr="00395876" w:rsidRDefault="00395876" w:rsidP="00AD0A28">
      <w:pPr>
        <w:spacing w:line="360" w:lineRule="auto"/>
        <w:jc w:val="both"/>
        <w:rPr>
          <w:rFonts w:ascii="Palatino Linotype" w:eastAsia="Garamond" w:hAnsi="Palatino Linotype" w:cs="Garamond"/>
          <w:b/>
          <w:bCs/>
          <w:sz w:val="22"/>
          <w:szCs w:val="22"/>
          <w:lang w:val="en-ID"/>
        </w:rPr>
      </w:pPr>
      <w:r w:rsidRPr="00395876">
        <w:rPr>
          <w:rFonts w:ascii="Palatino Linotype" w:eastAsia="Garamond" w:hAnsi="Palatino Linotype" w:cs="Garamond"/>
          <w:b/>
          <w:bCs/>
          <w:sz w:val="22"/>
          <w:szCs w:val="22"/>
          <w:lang w:val="en-ID"/>
        </w:rPr>
        <w:t>Use of Student Worksheets in Classroom Activities</w:t>
      </w:r>
    </w:p>
    <w:p w14:paraId="2F60B819" w14:textId="1B122E4B" w:rsidR="00395876" w:rsidRPr="00395876" w:rsidRDefault="00395876" w:rsidP="00AD0A28">
      <w:pPr>
        <w:spacing w:line="360" w:lineRule="auto"/>
        <w:ind w:firstLine="720"/>
        <w:jc w:val="both"/>
        <w:rPr>
          <w:rFonts w:ascii="Palatino Linotype" w:eastAsia="Garamond" w:hAnsi="Palatino Linotype" w:cs="Garamond"/>
          <w:sz w:val="22"/>
          <w:szCs w:val="22"/>
          <w:lang w:val="en-ID"/>
        </w:rPr>
      </w:pPr>
      <w:r w:rsidRPr="00395876">
        <w:rPr>
          <w:rFonts w:ascii="Palatino Linotype" w:eastAsia="Garamond" w:hAnsi="Palatino Linotype" w:cs="Garamond"/>
          <w:sz w:val="22"/>
          <w:szCs w:val="22"/>
          <w:lang w:val="en-ID"/>
        </w:rPr>
        <w:t xml:space="preserve">Interviews with G1 and WK described </w:t>
      </w:r>
      <w:r w:rsidR="00B425DE">
        <w:rPr>
          <w:rFonts w:ascii="Palatino Linotype" w:eastAsia="Garamond" w:hAnsi="Palatino Linotype" w:cs="Garamond"/>
          <w:sz w:val="22"/>
          <w:szCs w:val="22"/>
          <w:lang w:val="en-ID"/>
        </w:rPr>
        <w:t>the student worksheet</w:t>
      </w:r>
      <w:r w:rsidRPr="00395876">
        <w:rPr>
          <w:rFonts w:ascii="Palatino Linotype" w:eastAsia="Garamond" w:hAnsi="Palatino Linotype" w:cs="Garamond"/>
          <w:sz w:val="22"/>
          <w:szCs w:val="22"/>
          <w:lang w:val="en-ID"/>
        </w:rPr>
        <w:t xml:space="preserve"> </w:t>
      </w:r>
      <w:r>
        <w:rPr>
          <w:rFonts w:ascii="Palatino Linotype" w:eastAsia="Garamond" w:hAnsi="Palatino Linotype" w:cs="Garamond"/>
          <w:sz w:val="22"/>
          <w:szCs w:val="22"/>
          <w:lang w:val="en-ID"/>
        </w:rPr>
        <w:t>role</w:t>
      </w:r>
      <w:r w:rsidRPr="00395876">
        <w:rPr>
          <w:rFonts w:ascii="Palatino Linotype" w:eastAsia="Garamond" w:hAnsi="Palatino Linotype" w:cs="Garamond"/>
          <w:sz w:val="22"/>
          <w:szCs w:val="22"/>
          <w:lang w:val="en-ID"/>
        </w:rPr>
        <w:t xml:space="preserve"> in instruction and the guidance provided to students. Classroom observations recorded how students participated in worksheet activities. These data are presented in Table 1.</w:t>
      </w:r>
    </w:p>
    <w:p w14:paraId="2C835C51" w14:textId="77777777" w:rsidR="00395876" w:rsidRPr="00395876" w:rsidRDefault="00395876" w:rsidP="00395876">
      <w:pPr>
        <w:spacing w:line="240" w:lineRule="auto"/>
        <w:ind w:firstLine="720"/>
        <w:jc w:val="center"/>
        <w:rPr>
          <w:rFonts w:ascii="Palatino Linotype" w:eastAsia="Garamond" w:hAnsi="Palatino Linotype" w:cs="Garamond"/>
          <w:sz w:val="22"/>
          <w:szCs w:val="22"/>
          <w:lang w:val="en-ID"/>
        </w:rPr>
      </w:pPr>
      <w:r w:rsidRPr="00395876">
        <w:rPr>
          <w:rFonts w:ascii="Palatino Linotype" w:eastAsia="Garamond" w:hAnsi="Palatino Linotype" w:cs="Garamond"/>
          <w:b/>
          <w:bCs/>
          <w:sz w:val="22"/>
          <w:szCs w:val="22"/>
          <w:lang w:val="en-ID"/>
        </w:rPr>
        <w:t>Table 1. Use of Student Worksheets and Teacher Guidance</w:t>
      </w:r>
    </w:p>
    <w:tbl>
      <w:tblPr>
        <w:tblStyle w:val="PlainTable2"/>
        <w:tblW w:w="9639" w:type="dxa"/>
        <w:jc w:val="center"/>
        <w:tblLook w:val="04A0" w:firstRow="1" w:lastRow="0" w:firstColumn="1" w:lastColumn="0" w:noHBand="0" w:noVBand="1"/>
      </w:tblPr>
      <w:tblGrid>
        <w:gridCol w:w="709"/>
        <w:gridCol w:w="2693"/>
        <w:gridCol w:w="3402"/>
        <w:gridCol w:w="2835"/>
      </w:tblGrid>
      <w:tr w:rsidR="008C1CF1" w:rsidRPr="008C1CF1" w14:paraId="6ECB18E5" w14:textId="77777777" w:rsidTr="008C1CF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9" w:type="dxa"/>
          </w:tcPr>
          <w:p w14:paraId="2FCCCE9C" w14:textId="432AA2D2" w:rsidR="008C1CF1" w:rsidRPr="008C1CF1" w:rsidRDefault="008C1CF1" w:rsidP="008C1CF1">
            <w:pPr>
              <w:spacing w:line="240" w:lineRule="auto"/>
              <w:ind w:right="-15"/>
              <w:jc w:val="center"/>
              <w:rPr>
                <w:rFonts w:ascii="Palatino Linotype" w:eastAsia="Garamond" w:hAnsi="Palatino Linotype" w:cs="Garamond"/>
                <w:sz w:val="20"/>
                <w:lang w:val="en-ID"/>
              </w:rPr>
            </w:pPr>
            <w:r w:rsidRPr="008C1CF1">
              <w:rPr>
                <w:rFonts w:ascii="Palatino Linotype" w:eastAsia="Garamond" w:hAnsi="Palatino Linotype" w:cs="Garamond"/>
                <w:sz w:val="20"/>
                <w:lang w:val="en-ID"/>
              </w:rPr>
              <w:t>No</w:t>
            </w:r>
          </w:p>
        </w:tc>
        <w:tc>
          <w:tcPr>
            <w:tcW w:w="2693" w:type="dxa"/>
            <w:hideMark/>
          </w:tcPr>
          <w:p w14:paraId="467962F9" w14:textId="05C69EF5" w:rsidR="008C1CF1" w:rsidRPr="008C1CF1" w:rsidRDefault="008C1CF1" w:rsidP="00270742">
            <w:pPr>
              <w:spacing w:line="240" w:lineRule="auto"/>
              <w:jc w:val="center"/>
              <w:cnfStyle w:val="100000000000" w:firstRow="1" w:lastRow="0" w:firstColumn="0" w:lastColumn="0" w:oddVBand="0" w:evenVBand="0" w:oddHBand="0" w:evenHBand="0" w:firstRowFirstColumn="0" w:firstRowLastColumn="0" w:lastRowFirstColumn="0" w:lastRowLastColumn="0"/>
              <w:rPr>
                <w:rFonts w:ascii="Palatino Linotype" w:eastAsia="Garamond" w:hAnsi="Palatino Linotype" w:cs="Garamond"/>
                <w:sz w:val="20"/>
                <w:lang w:val="en-ID"/>
              </w:rPr>
            </w:pPr>
            <w:r w:rsidRPr="008C1CF1">
              <w:rPr>
                <w:rFonts w:ascii="Palatino Linotype" w:eastAsia="Garamond" w:hAnsi="Palatino Linotype" w:cs="Garamond"/>
                <w:sz w:val="20"/>
                <w:lang w:val="en-ID"/>
              </w:rPr>
              <w:t>Aspect</w:t>
            </w:r>
          </w:p>
        </w:tc>
        <w:tc>
          <w:tcPr>
            <w:tcW w:w="3402" w:type="dxa"/>
            <w:hideMark/>
          </w:tcPr>
          <w:p w14:paraId="39D6B23D" w14:textId="77777777" w:rsidR="008C1CF1" w:rsidRPr="008C1CF1" w:rsidRDefault="008C1CF1" w:rsidP="00270742">
            <w:pPr>
              <w:spacing w:line="240" w:lineRule="auto"/>
              <w:jc w:val="center"/>
              <w:cnfStyle w:val="100000000000" w:firstRow="1" w:lastRow="0" w:firstColumn="0" w:lastColumn="0" w:oddVBand="0" w:evenVBand="0" w:oddHBand="0" w:evenHBand="0" w:firstRowFirstColumn="0" w:firstRowLastColumn="0" w:lastRowFirstColumn="0" w:lastRowLastColumn="0"/>
              <w:rPr>
                <w:rFonts w:ascii="Palatino Linotype" w:eastAsia="Garamond" w:hAnsi="Palatino Linotype" w:cs="Garamond"/>
                <w:sz w:val="20"/>
                <w:lang w:val="en-ID"/>
              </w:rPr>
            </w:pPr>
            <w:r w:rsidRPr="008C1CF1">
              <w:rPr>
                <w:rFonts w:ascii="Palatino Linotype" w:eastAsia="Garamond" w:hAnsi="Palatino Linotype" w:cs="Garamond"/>
                <w:sz w:val="20"/>
                <w:lang w:val="en-ID"/>
              </w:rPr>
              <w:t>Interview data</w:t>
            </w:r>
          </w:p>
        </w:tc>
        <w:tc>
          <w:tcPr>
            <w:tcW w:w="2835" w:type="dxa"/>
            <w:hideMark/>
          </w:tcPr>
          <w:p w14:paraId="7C80A872" w14:textId="77777777" w:rsidR="008C1CF1" w:rsidRPr="008C1CF1" w:rsidRDefault="008C1CF1" w:rsidP="00270742">
            <w:pPr>
              <w:spacing w:line="240" w:lineRule="auto"/>
              <w:jc w:val="center"/>
              <w:cnfStyle w:val="100000000000" w:firstRow="1" w:lastRow="0" w:firstColumn="0" w:lastColumn="0" w:oddVBand="0" w:evenVBand="0" w:oddHBand="0" w:evenHBand="0" w:firstRowFirstColumn="0" w:firstRowLastColumn="0" w:lastRowFirstColumn="0" w:lastRowLastColumn="0"/>
              <w:rPr>
                <w:rFonts w:ascii="Palatino Linotype" w:eastAsia="Garamond" w:hAnsi="Palatino Linotype" w:cs="Garamond"/>
                <w:sz w:val="20"/>
                <w:lang w:val="en-ID"/>
              </w:rPr>
            </w:pPr>
            <w:r w:rsidRPr="008C1CF1">
              <w:rPr>
                <w:rFonts w:ascii="Palatino Linotype" w:eastAsia="Garamond" w:hAnsi="Palatino Linotype" w:cs="Garamond"/>
                <w:sz w:val="20"/>
                <w:lang w:val="en-ID"/>
              </w:rPr>
              <w:t>Observation data</w:t>
            </w:r>
          </w:p>
        </w:tc>
      </w:tr>
      <w:tr w:rsidR="008C1CF1" w:rsidRPr="008C1CF1" w14:paraId="6C8383CC" w14:textId="77777777" w:rsidTr="008C1CF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9" w:type="dxa"/>
          </w:tcPr>
          <w:p w14:paraId="4173B52F" w14:textId="55B51C18" w:rsidR="008C1CF1" w:rsidRPr="008C1CF1" w:rsidRDefault="008C1CF1" w:rsidP="008C1CF1">
            <w:pPr>
              <w:spacing w:line="240" w:lineRule="auto"/>
              <w:jc w:val="center"/>
              <w:rPr>
                <w:rFonts w:ascii="Palatino Linotype" w:eastAsia="Garamond" w:hAnsi="Palatino Linotype" w:cs="Garamond"/>
                <w:sz w:val="20"/>
                <w:lang w:val="en-ID"/>
              </w:rPr>
            </w:pPr>
            <w:r>
              <w:rPr>
                <w:rFonts w:ascii="Palatino Linotype" w:eastAsia="Garamond" w:hAnsi="Palatino Linotype" w:cs="Garamond"/>
                <w:sz w:val="20"/>
                <w:lang w:val="en-ID"/>
              </w:rPr>
              <w:t>1</w:t>
            </w:r>
          </w:p>
        </w:tc>
        <w:tc>
          <w:tcPr>
            <w:tcW w:w="2693" w:type="dxa"/>
            <w:hideMark/>
          </w:tcPr>
          <w:p w14:paraId="0086F039" w14:textId="5F1EF396" w:rsidR="008C1CF1" w:rsidRPr="008C1CF1" w:rsidRDefault="008C1CF1" w:rsidP="008C1CF1">
            <w:pPr>
              <w:spacing w:line="240" w:lineRule="auto"/>
              <w:jc w:val="both"/>
              <w:cnfStyle w:val="000000100000" w:firstRow="0" w:lastRow="0" w:firstColumn="0" w:lastColumn="0" w:oddVBand="0" w:evenVBand="0" w:oddHBand="1" w:evenHBand="0" w:firstRowFirstColumn="0" w:firstRowLastColumn="0" w:lastRowFirstColumn="0" w:lastRowLastColumn="0"/>
              <w:rPr>
                <w:rFonts w:ascii="Palatino Linotype" w:eastAsia="Garamond" w:hAnsi="Palatino Linotype" w:cs="Garamond"/>
                <w:sz w:val="20"/>
                <w:lang w:val="en-ID"/>
              </w:rPr>
            </w:pPr>
            <w:r w:rsidRPr="008C1CF1">
              <w:rPr>
                <w:rFonts w:ascii="Palatino Linotype" w:eastAsia="Garamond" w:hAnsi="Palatino Linotype" w:cs="Garamond"/>
                <w:sz w:val="20"/>
                <w:lang w:val="en-ID"/>
              </w:rPr>
              <w:t>Position of student worksheet  in instruction</w:t>
            </w:r>
          </w:p>
        </w:tc>
        <w:tc>
          <w:tcPr>
            <w:tcW w:w="3402" w:type="dxa"/>
            <w:hideMark/>
          </w:tcPr>
          <w:p w14:paraId="53BA64E4" w14:textId="07094D63" w:rsidR="008C1CF1" w:rsidRPr="008C1CF1" w:rsidRDefault="008C1CF1" w:rsidP="008C1CF1">
            <w:pPr>
              <w:spacing w:line="240" w:lineRule="auto"/>
              <w:jc w:val="both"/>
              <w:cnfStyle w:val="000000100000" w:firstRow="0" w:lastRow="0" w:firstColumn="0" w:lastColumn="0" w:oddVBand="0" w:evenVBand="0" w:oddHBand="1" w:evenHBand="0" w:firstRowFirstColumn="0" w:firstRowLastColumn="0" w:lastRowFirstColumn="0" w:lastRowLastColumn="0"/>
              <w:rPr>
                <w:rFonts w:ascii="Palatino Linotype" w:eastAsia="Garamond" w:hAnsi="Palatino Linotype" w:cs="Garamond"/>
                <w:sz w:val="20"/>
                <w:lang w:val="en-ID"/>
              </w:rPr>
            </w:pPr>
            <w:r w:rsidRPr="008C1CF1">
              <w:rPr>
                <w:rFonts w:ascii="Palatino Linotype" w:eastAsia="Garamond" w:hAnsi="Palatino Linotype" w:cs="Garamond"/>
                <w:sz w:val="20"/>
                <w:lang w:val="en-ID"/>
              </w:rPr>
              <w:t>G1 used student worksheet as supplementary materials after explaining the main lesson.</w:t>
            </w:r>
          </w:p>
        </w:tc>
        <w:tc>
          <w:tcPr>
            <w:tcW w:w="2835" w:type="dxa"/>
            <w:hideMark/>
          </w:tcPr>
          <w:p w14:paraId="30BD62C9" w14:textId="77777777" w:rsidR="008C1CF1" w:rsidRPr="008C1CF1" w:rsidRDefault="008C1CF1" w:rsidP="008C1CF1">
            <w:pPr>
              <w:spacing w:line="240" w:lineRule="auto"/>
              <w:jc w:val="both"/>
              <w:cnfStyle w:val="000000100000" w:firstRow="0" w:lastRow="0" w:firstColumn="0" w:lastColumn="0" w:oddVBand="0" w:evenVBand="0" w:oddHBand="1" w:evenHBand="0" w:firstRowFirstColumn="0" w:firstRowLastColumn="0" w:lastRowFirstColumn="0" w:lastRowLastColumn="0"/>
              <w:rPr>
                <w:rFonts w:ascii="Palatino Linotype" w:eastAsia="Garamond" w:hAnsi="Palatino Linotype" w:cs="Garamond"/>
                <w:sz w:val="20"/>
                <w:lang w:val="en-ID"/>
              </w:rPr>
            </w:pPr>
            <w:r w:rsidRPr="008C1CF1">
              <w:rPr>
                <w:rFonts w:ascii="Palatino Linotype" w:eastAsia="Garamond" w:hAnsi="Palatino Linotype" w:cs="Garamond"/>
                <w:sz w:val="20"/>
                <w:lang w:val="en-ID"/>
              </w:rPr>
              <w:t>—</w:t>
            </w:r>
          </w:p>
        </w:tc>
      </w:tr>
      <w:tr w:rsidR="008C1CF1" w:rsidRPr="008C1CF1" w14:paraId="4B530908" w14:textId="77777777" w:rsidTr="008C1CF1">
        <w:trPr>
          <w:jc w:val="center"/>
        </w:trPr>
        <w:tc>
          <w:tcPr>
            <w:cnfStyle w:val="001000000000" w:firstRow="0" w:lastRow="0" w:firstColumn="1" w:lastColumn="0" w:oddVBand="0" w:evenVBand="0" w:oddHBand="0" w:evenHBand="0" w:firstRowFirstColumn="0" w:firstRowLastColumn="0" w:lastRowFirstColumn="0" w:lastRowLastColumn="0"/>
            <w:tcW w:w="709" w:type="dxa"/>
          </w:tcPr>
          <w:p w14:paraId="3D96F7E4" w14:textId="3698D4DB" w:rsidR="008C1CF1" w:rsidRPr="008C1CF1" w:rsidRDefault="008C1CF1" w:rsidP="008C1CF1">
            <w:pPr>
              <w:spacing w:line="240" w:lineRule="auto"/>
              <w:jc w:val="center"/>
              <w:rPr>
                <w:rFonts w:ascii="Palatino Linotype" w:eastAsia="Garamond" w:hAnsi="Palatino Linotype" w:cs="Garamond"/>
                <w:sz w:val="20"/>
                <w:lang w:val="en-ID"/>
              </w:rPr>
            </w:pPr>
            <w:r>
              <w:rPr>
                <w:rFonts w:ascii="Palatino Linotype" w:eastAsia="Garamond" w:hAnsi="Palatino Linotype" w:cs="Garamond"/>
                <w:sz w:val="20"/>
                <w:lang w:val="en-ID"/>
              </w:rPr>
              <w:t>2</w:t>
            </w:r>
          </w:p>
        </w:tc>
        <w:tc>
          <w:tcPr>
            <w:tcW w:w="2693" w:type="dxa"/>
            <w:hideMark/>
          </w:tcPr>
          <w:p w14:paraId="0C640D97" w14:textId="0EFA90F0" w:rsidR="008C1CF1" w:rsidRPr="008C1CF1" w:rsidRDefault="008C1CF1" w:rsidP="008C1CF1">
            <w:pPr>
              <w:spacing w:line="240" w:lineRule="auto"/>
              <w:jc w:val="both"/>
              <w:cnfStyle w:val="000000000000" w:firstRow="0" w:lastRow="0" w:firstColumn="0" w:lastColumn="0" w:oddVBand="0" w:evenVBand="0" w:oddHBand="0" w:evenHBand="0" w:firstRowFirstColumn="0" w:firstRowLastColumn="0" w:lastRowFirstColumn="0" w:lastRowLastColumn="0"/>
              <w:rPr>
                <w:rFonts w:ascii="Palatino Linotype" w:eastAsia="Garamond" w:hAnsi="Palatino Linotype" w:cs="Garamond"/>
                <w:sz w:val="20"/>
                <w:lang w:val="en-ID"/>
              </w:rPr>
            </w:pPr>
            <w:r w:rsidRPr="008C1CF1">
              <w:rPr>
                <w:rFonts w:ascii="Palatino Linotype" w:eastAsia="Garamond" w:hAnsi="Palatino Linotype" w:cs="Garamond"/>
                <w:sz w:val="20"/>
                <w:lang w:val="en-ID"/>
              </w:rPr>
              <w:t>Worksheet activities</w:t>
            </w:r>
          </w:p>
        </w:tc>
        <w:tc>
          <w:tcPr>
            <w:tcW w:w="3402" w:type="dxa"/>
            <w:hideMark/>
          </w:tcPr>
          <w:p w14:paraId="756A23A8" w14:textId="77777777" w:rsidR="008C1CF1" w:rsidRPr="008C1CF1" w:rsidRDefault="008C1CF1" w:rsidP="008C1CF1">
            <w:pPr>
              <w:spacing w:line="240" w:lineRule="auto"/>
              <w:jc w:val="both"/>
              <w:cnfStyle w:val="000000000000" w:firstRow="0" w:lastRow="0" w:firstColumn="0" w:lastColumn="0" w:oddVBand="0" w:evenVBand="0" w:oddHBand="0" w:evenHBand="0" w:firstRowFirstColumn="0" w:firstRowLastColumn="0" w:lastRowFirstColumn="0" w:lastRowLastColumn="0"/>
              <w:rPr>
                <w:rFonts w:ascii="Palatino Linotype" w:eastAsia="Garamond" w:hAnsi="Palatino Linotype" w:cs="Garamond"/>
                <w:sz w:val="20"/>
                <w:lang w:val="en-ID"/>
              </w:rPr>
            </w:pPr>
            <w:r w:rsidRPr="008C1CF1">
              <w:rPr>
                <w:rFonts w:ascii="Palatino Linotype" w:eastAsia="Garamond" w:hAnsi="Palatino Linotype" w:cs="Garamond"/>
                <w:sz w:val="20"/>
                <w:lang w:val="en-ID"/>
              </w:rPr>
              <w:t>G1 asked students to read the content and instructions, complete exercises, and review lesson material.</w:t>
            </w:r>
          </w:p>
        </w:tc>
        <w:tc>
          <w:tcPr>
            <w:tcW w:w="2835" w:type="dxa"/>
            <w:hideMark/>
          </w:tcPr>
          <w:p w14:paraId="03E6E104" w14:textId="77777777" w:rsidR="008C1CF1" w:rsidRPr="008C1CF1" w:rsidRDefault="008C1CF1" w:rsidP="008C1CF1">
            <w:pPr>
              <w:spacing w:line="240" w:lineRule="auto"/>
              <w:jc w:val="both"/>
              <w:cnfStyle w:val="000000000000" w:firstRow="0" w:lastRow="0" w:firstColumn="0" w:lastColumn="0" w:oddVBand="0" w:evenVBand="0" w:oddHBand="0" w:evenHBand="0" w:firstRowFirstColumn="0" w:firstRowLastColumn="0" w:lastRowFirstColumn="0" w:lastRowLastColumn="0"/>
              <w:rPr>
                <w:rFonts w:ascii="Palatino Linotype" w:eastAsia="Garamond" w:hAnsi="Palatino Linotype" w:cs="Garamond"/>
                <w:sz w:val="20"/>
                <w:lang w:val="en-ID"/>
              </w:rPr>
            </w:pPr>
            <w:r w:rsidRPr="008C1CF1">
              <w:rPr>
                <w:rFonts w:ascii="Palatino Linotype" w:eastAsia="Garamond" w:hAnsi="Palatino Linotype" w:cs="Garamond"/>
                <w:sz w:val="20"/>
                <w:lang w:val="en-ID"/>
              </w:rPr>
              <w:t>Students read the material and completed worksheet assignments.</w:t>
            </w:r>
          </w:p>
        </w:tc>
      </w:tr>
      <w:tr w:rsidR="008C1CF1" w:rsidRPr="008C1CF1" w14:paraId="3D541393" w14:textId="77777777" w:rsidTr="008C1CF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9" w:type="dxa"/>
          </w:tcPr>
          <w:p w14:paraId="0F179066" w14:textId="202A93AD" w:rsidR="008C1CF1" w:rsidRPr="008C1CF1" w:rsidRDefault="008C1CF1" w:rsidP="008C1CF1">
            <w:pPr>
              <w:spacing w:line="240" w:lineRule="auto"/>
              <w:jc w:val="center"/>
              <w:rPr>
                <w:rFonts w:ascii="Palatino Linotype" w:eastAsia="Garamond" w:hAnsi="Palatino Linotype" w:cs="Garamond"/>
                <w:sz w:val="20"/>
                <w:lang w:val="en-ID"/>
              </w:rPr>
            </w:pPr>
            <w:r>
              <w:rPr>
                <w:rFonts w:ascii="Palatino Linotype" w:eastAsia="Garamond" w:hAnsi="Palatino Linotype" w:cs="Garamond"/>
                <w:sz w:val="20"/>
                <w:lang w:val="en-ID"/>
              </w:rPr>
              <w:t>3</w:t>
            </w:r>
          </w:p>
        </w:tc>
        <w:tc>
          <w:tcPr>
            <w:tcW w:w="2693" w:type="dxa"/>
            <w:hideMark/>
          </w:tcPr>
          <w:p w14:paraId="4B8E42AF" w14:textId="63B0C236" w:rsidR="008C1CF1" w:rsidRPr="008C1CF1" w:rsidRDefault="008C1CF1" w:rsidP="008C1CF1">
            <w:pPr>
              <w:spacing w:line="240" w:lineRule="auto"/>
              <w:jc w:val="both"/>
              <w:cnfStyle w:val="000000100000" w:firstRow="0" w:lastRow="0" w:firstColumn="0" w:lastColumn="0" w:oddVBand="0" w:evenVBand="0" w:oddHBand="1" w:evenHBand="0" w:firstRowFirstColumn="0" w:firstRowLastColumn="0" w:lastRowFirstColumn="0" w:lastRowLastColumn="0"/>
              <w:rPr>
                <w:rFonts w:ascii="Palatino Linotype" w:eastAsia="Garamond" w:hAnsi="Palatino Linotype" w:cs="Garamond"/>
                <w:sz w:val="20"/>
                <w:lang w:val="en-ID"/>
              </w:rPr>
            </w:pPr>
            <w:r w:rsidRPr="008C1CF1">
              <w:rPr>
                <w:rFonts w:ascii="Palatino Linotype" w:eastAsia="Garamond" w:hAnsi="Palatino Linotype" w:cs="Garamond"/>
                <w:sz w:val="20"/>
                <w:lang w:val="en-ID"/>
              </w:rPr>
              <w:t>Starting activities</w:t>
            </w:r>
          </w:p>
        </w:tc>
        <w:tc>
          <w:tcPr>
            <w:tcW w:w="3402" w:type="dxa"/>
            <w:hideMark/>
          </w:tcPr>
          <w:p w14:paraId="2BA1180E" w14:textId="77777777" w:rsidR="008C1CF1" w:rsidRPr="008C1CF1" w:rsidRDefault="008C1CF1" w:rsidP="008C1CF1">
            <w:pPr>
              <w:spacing w:line="240" w:lineRule="auto"/>
              <w:jc w:val="both"/>
              <w:cnfStyle w:val="000000100000" w:firstRow="0" w:lastRow="0" w:firstColumn="0" w:lastColumn="0" w:oddVBand="0" w:evenVBand="0" w:oddHBand="1" w:evenHBand="0" w:firstRowFirstColumn="0" w:firstRowLastColumn="0" w:lastRowFirstColumn="0" w:lastRowLastColumn="0"/>
              <w:rPr>
                <w:rFonts w:ascii="Palatino Linotype" w:eastAsia="Garamond" w:hAnsi="Palatino Linotype" w:cs="Garamond"/>
                <w:sz w:val="20"/>
                <w:lang w:val="en-ID"/>
              </w:rPr>
            </w:pPr>
            <w:r w:rsidRPr="008C1CF1">
              <w:rPr>
                <w:rFonts w:ascii="Palatino Linotype" w:eastAsia="Garamond" w:hAnsi="Palatino Linotype" w:cs="Garamond"/>
                <w:sz w:val="20"/>
                <w:lang w:val="en-ID"/>
              </w:rPr>
              <w:t>G1 gave students opportunities to read and work independently.</w:t>
            </w:r>
          </w:p>
        </w:tc>
        <w:tc>
          <w:tcPr>
            <w:tcW w:w="2835" w:type="dxa"/>
            <w:hideMark/>
          </w:tcPr>
          <w:p w14:paraId="5E249AD0" w14:textId="77777777" w:rsidR="008C1CF1" w:rsidRPr="008C1CF1" w:rsidRDefault="008C1CF1" w:rsidP="008C1CF1">
            <w:pPr>
              <w:spacing w:line="240" w:lineRule="auto"/>
              <w:jc w:val="both"/>
              <w:cnfStyle w:val="000000100000" w:firstRow="0" w:lastRow="0" w:firstColumn="0" w:lastColumn="0" w:oddVBand="0" w:evenVBand="0" w:oddHBand="1" w:evenHBand="0" w:firstRowFirstColumn="0" w:firstRowLastColumn="0" w:lastRowFirstColumn="0" w:lastRowLastColumn="0"/>
              <w:rPr>
                <w:rFonts w:ascii="Palatino Linotype" w:eastAsia="Garamond" w:hAnsi="Palatino Linotype" w:cs="Garamond"/>
                <w:sz w:val="20"/>
                <w:lang w:val="en-ID"/>
              </w:rPr>
            </w:pPr>
            <w:r w:rsidRPr="008C1CF1">
              <w:rPr>
                <w:rFonts w:ascii="Palatino Linotype" w:eastAsia="Garamond" w:hAnsi="Palatino Linotype" w:cs="Garamond"/>
                <w:sz w:val="20"/>
                <w:lang w:val="en-ID"/>
              </w:rPr>
              <w:t>Some students began tasks promptly; others waited for teacher instructions.</w:t>
            </w:r>
          </w:p>
        </w:tc>
      </w:tr>
      <w:tr w:rsidR="008C1CF1" w:rsidRPr="008C1CF1" w14:paraId="7F080D87" w14:textId="77777777" w:rsidTr="008C1CF1">
        <w:trPr>
          <w:jc w:val="center"/>
        </w:trPr>
        <w:tc>
          <w:tcPr>
            <w:cnfStyle w:val="001000000000" w:firstRow="0" w:lastRow="0" w:firstColumn="1" w:lastColumn="0" w:oddVBand="0" w:evenVBand="0" w:oddHBand="0" w:evenHBand="0" w:firstRowFirstColumn="0" w:firstRowLastColumn="0" w:lastRowFirstColumn="0" w:lastRowLastColumn="0"/>
            <w:tcW w:w="709" w:type="dxa"/>
          </w:tcPr>
          <w:p w14:paraId="4C7238D5" w14:textId="1C701D94" w:rsidR="008C1CF1" w:rsidRPr="008C1CF1" w:rsidRDefault="008C1CF1" w:rsidP="008C1CF1">
            <w:pPr>
              <w:spacing w:line="240" w:lineRule="auto"/>
              <w:jc w:val="center"/>
              <w:rPr>
                <w:rFonts w:ascii="Palatino Linotype" w:eastAsia="Garamond" w:hAnsi="Palatino Linotype" w:cs="Garamond"/>
                <w:sz w:val="20"/>
                <w:lang w:val="en-ID"/>
              </w:rPr>
            </w:pPr>
            <w:r>
              <w:rPr>
                <w:rFonts w:ascii="Palatino Linotype" w:eastAsia="Garamond" w:hAnsi="Palatino Linotype" w:cs="Garamond"/>
                <w:sz w:val="20"/>
                <w:lang w:val="en-ID"/>
              </w:rPr>
              <w:t>4</w:t>
            </w:r>
          </w:p>
        </w:tc>
        <w:tc>
          <w:tcPr>
            <w:tcW w:w="2693" w:type="dxa"/>
            <w:hideMark/>
          </w:tcPr>
          <w:p w14:paraId="5D7FCB76" w14:textId="160B596C" w:rsidR="008C1CF1" w:rsidRPr="008C1CF1" w:rsidRDefault="008C1CF1" w:rsidP="008C1CF1">
            <w:pPr>
              <w:spacing w:line="240" w:lineRule="auto"/>
              <w:jc w:val="both"/>
              <w:cnfStyle w:val="000000000000" w:firstRow="0" w:lastRow="0" w:firstColumn="0" w:lastColumn="0" w:oddVBand="0" w:evenVBand="0" w:oddHBand="0" w:evenHBand="0" w:firstRowFirstColumn="0" w:firstRowLastColumn="0" w:lastRowFirstColumn="0" w:lastRowLastColumn="0"/>
              <w:rPr>
                <w:rFonts w:ascii="Palatino Linotype" w:eastAsia="Garamond" w:hAnsi="Palatino Linotype" w:cs="Garamond"/>
                <w:sz w:val="20"/>
                <w:lang w:val="en-ID"/>
              </w:rPr>
            </w:pPr>
            <w:r w:rsidRPr="008C1CF1">
              <w:rPr>
                <w:rFonts w:ascii="Palatino Linotype" w:eastAsia="Garamond" w:hAnsi="Palatino Linotype" w:cs="Garamond"/>
                <w:sz w:val="20"/>
                <w:lang w:val="en-ID"/>
              </w:rPr>
              <w:t xml:space="preserve">Guidance during </w:t>
            </w:r>
            <w:r w:rsidRPr="008C1CF1">
              <w:rPr>
                <w:rFonts w:ascii="Palatino Linotype" w:eastAsia="Garamond" w:hAnsi="Palatino Linotype" w:cs="Garamond"/>
                <w:sz w:val="20"/>
                <w:lang w:val="en-ID"/>
              </w:rPr>
              <w:lastRenderedPageBreak/>
              <w:t>difficulties</w:t>
            </w:r>
          </w:p>
        </w:tc>
        <w:tc>
          <w:tcPr>
            <w:tcW w:w="3402" w:type="dxa"/>
            <w:hideMark/>
          </w:tcPr>
          <w:p w14:paraId="0AAD5EA3" w14:textId="77777777" w:rsidR="008C1CF1" w:rsidRPr="008C1CF1" w:rsidRDefault="008C1CF1" w:rsidP="008C1CF1">
            <w:pPr>
              <w:spacing w:line="240" w:lineRule="auto"/>
              <w:jc w:val="both"/>
              <w:cnfStyle w:val="000000000000" w:firstRow="0" w:lastRow="0" w:firstColumn="0" w:lastColumn="0" w:oddVBand="0" w:evenVBand="0" w:oddHBand="0" w:evenHBand="0" w:firstRowFirstColumn="0" w:firstRowLastColumn="0" w:lastRowFirstColumn="0" w:lastRowLastColumn="0"/>
              <w:rPr>
                <w:rFonts w:ascii="Palatino Linotype" w:eastAsia="Garamond" w:hAnsi="Palatino Linotype" w:cs="Garamond"/>
                <w:sz w:val="20"/>
                <w:lang w:val="en-ID"/>
              </w:rPr>
            </w:pPr>
            <w:r w:rsidRPr="008C1CF1">
              <w:rPr>
                <w:rFonts w:ascii="Palatino Linotype" w:eastAsia="Garamond" w:hAnsi="Palatino Linotype" w:cs="Garamond"/>
                <w:sz w:val="20"/>
                <w:lang w:val="en-ID"/>
              </w:rPr>
              <w:lastRenderedPageBreak/>
              <w:t xml:space="preserve">G1 used guiding questions and </w:t>
            </w:r>
            <w:r w:rsidRPr="008C1CF1">
              <w:rPr>
                <w:rFonts w:ascii="Palatino Linotype" w:eastAsia="Garamond" w:hAnsi="Palatino Linotype" w:cs="Garamond"/>
                <w:sz w:val="20"/>
                <w:lang w:val="en-ID"/>
              </w:rPr>
              <w:lastRenderedPageBreak/>
              <w:t>asked students to reread the material before seeking assistance.</w:t>
            </w:r>
          </w:p>
        </w:tc>
        <w:tc>
          <w:tcPr>
            <w:tcW w:w="2835" w:type="dxa"/>
            <w:hideMark/>
          </w:tcPr>
          <w:p w14:paraId="381454DA" w14:textId="77777777" w:rsidR="008C1CF1" w:rsidRPr="008C1CF1" w:rsidRDefault="008C1CF1" w:rsidP="008C1CF1">
            <w:pPr>
              <w:spacing w:line="240" w:lineRule="auto"/>
              <w:jc w:val="both"/>
              <w:cnfStyle w:val="000000000000" w:firstRow="0" w:lastRow="0" w:firstColumn="0" w:lastColumn="0" w:oddVBand="0" w:evenVBand="0" w:oddHBand="0" w:evenHBand="0" w:firstRowFirstColumn="0" w:firstRowLastColumn="0" w:lastRowFirstColumn="0" w:lastRowLastColumn="0"/>
              <w:rPr>
                <w:rFonts w:ascii="Palatino Linotype" w:eastAsia="Garamond" w:hAnsi="Palatino Linotype" w:cs="Garamond"/>
                <w:sz w:val="20"/>
                <w:lang w:val="en-ID"/>
              </w:rPr>
            </w:pPr>
            <w:r w:rsidRPr="008C1CF1">
              <w:rPr>
                <w:rFonts w:ascii="Palatino Linotype" w:eastAsia="Garamond" w:hAnsi="Palatino Linotype" w:cs="Garamond"/>
                <w:sz w:val="20"/>
                <w:lang w:val="en-ID"/>
              </w:rPr>
              <w:lastRenderedPageBreak/>
              <w:t xml:space="preserve">Students were encouraged to </w:t>
            </w:r>
            <w:r w:rsidRPr="008C1CF1">
              <w:rPr>
                <w:rFonts w:ascii="Palatino Linotype" w:eastAsia="Garamond" w:hAnsi="Palatino Linotype" w:cs="Garamond"/>
                <w:sz w:val="20"/>
                <w:lang w:val="en-ID"/>
              </w:rPr>
              <w:lastRenderedPageBreak/>
              <w:t>reread the content or instructions when encountering difficulties.</w:t>
            </w:r>
          </w:p>
        </w:tc>
      </w:tr>
      <w:tr w:rsidR="008C1CF1" w:rsidRPr="008C1CF1" w14:paraId="1CDBA80F" w14:textId="77777777" w:rsidTr="008C1CF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9" w:type="dxa"/>
          </w:tcPr>
          <w:p w14:paraId="438DDD22" w14:textId="142B866B" w:rsidR="008C1CF1" w:rsidRPr="008C1CF1" w:rsidRDefault="008C1CF1" w:rsidP="008C1CF1">
            <w:pPr>
              <w:spacing w:line="240" w:lineRule="auto"/>
              <w:jc w:val="center"/>
              <w:rPr>
                <w:rFonts w:ascii="Palatino Linotype" w:eastAsia="Garamond" w:hAnsi="Palatino Linotype" w:cs="Garamond"/>
                <w:sz w:val="20"/>
                <w:lang w:val="en-ID"/>
              </w:rPr>
            </w:pPr>
            <w:r>
              <w:rPr>
                <w:rFonts w:ascii="Palatino Linotype" w:eastAsia="Garamond" w:hAnsi="Palatino Linotype" w:cs="Garamond"/>
                <w:sz w:val="20"/>
                <w:lang w:val="en-ID"/>
              </w:rPr>
              <w:lastRenderedPageBreak/>
              <w:t>5</w:t>
            </w:r>
          </w:p>
        </w:tc>
        <w:tc>
          <w:tcPr>
            <w:tcW w:w="2693" w:type="dxa"/>
            <w:hideMark/>
          </w:tcPr>
          <w:p w14:paraId="72FBE82E" w14:textId="54FB30D9" w:rsidR="008C1CF1" w:rsidRPr="008C1CF1" w:rsidRDefault="008C1CF1" w:rsidP="008C1CF1">
            <w:pPr>
              <w:spacing w:line="240" w:lineRule="auto"/>
              <w:jc w:val="both"/>
              <w:cnfStyle w:val="000000100000" w:firstRow="0" w:lastRow="0" w:firstColumn="0" w:lastColumn="0" w:oddVBand="0" w:evenVBand="0" w:oddHBand="1" w:evenHBand="0" w:firstRowFirstColumn="0" w:firstRowLastColumn="0" w:lastRowFirstColumn="0" w:lastRowLastColumn="0"/>
              <w:rPr>
                <w:rFonts w:ascii="Palatino Linotype" w:eastAsia="Garamond" w:hAnsi="Palatino Linotype" w:cs="Garamond"/>
                <w:sz w:val="20"/>
                <w:lang w:val="en-ID"/>
              </w:rPr>
            </w:pPr>
            <w:r w:rsidRPr="008C1CF1">
              <w:rPr>
                <w:rFonts w:ascii="Palatino Linotype" w:eastAsia="Garamond" w:hAnsi="Palatino Linotype" w:cs="Garamond"/>
                <w:sz w:val="20"/>
                <w:lang w:val="en-ID"/>
              </w:rPr>
              <w:t>School support</w:t>
            </w:r>
          </w:p>
        </w:tc>
        <w:tc>
          <w:tcPr>
            <w:tcW w:w="3402" w:type="dxa"/>
            <w:hideMark/>
          </w:tcPr>
          <w:p w14:paraId="45071B61" w14:textId="41E928B5" w:rsidR="008C1CF1" w:rsidRPr="008C1CF1" w:rsidRDefault="008C1CF1" w:rsidP="008C1CF1">
            <w:pPr>
              <w:spacing w:line="240" w:lineRule="auto"/>
              <w:jc w:val="both"/>
              <w:cnfStyle w:val="000000100000" w:firstRow="0" w:lastRow="0" w:firstColumn="0" w:lastColumn="0" w:oddVBand="0" w:evenVBand="0" w:oddHBand="1" w:evenHBand="0" w:firstRowFirstColumn="0" w:firstRowLastColumn="0" w:lastRowFirstColumn="0" w:lastRowLastColumn="0"/>
              <w:rPr>
                <w:rFonts w:ascii="Palatino Linotype" w:eastAsia="Garamond" w:hAnsi="Palatino Linotype" w:cs="Garamond"/>
                <w:sz w:val="20"/>
                <w:lang w:val="en-ID"/>
              </w:rPr>
            </w:pPr>
            <w:r w:rsidRPr="008C1CF1">
              <w:rPr>
                <w:rFonts w:ascii="Palatino Linotype" w:eastAsia="Garamond" w:hAnsi="Palatino Linotype" w:cs="Garamond"/>
                <w:sz w:val="20"/>
                <w:lang w:val="en-ID"/>
              </w:rPr>
              <w:t>WK reported that teachers could use student worksheet according to subject needs and were expected to allow students to attempt tasks before receiving assistance.</w:t>
            </w:r>
          </w:p>
        </w:tc>
        <w:tc>
          <w:tcPr>
            <w:tcW w:w="2835" w:type="dxa"/>
            <w:hideMark/>
          </w:tcPr>
          <w:p w14:paraId="3CB23D04" w14:textId="77777777" w:rsidR="008C1CF1" w:rsidRPr="008C1CF1" w:rsidRDefault="008C1CF1" w:rsidP="008C1CF1">
            <w:pPr>
              <w:spacing w:line="240" w:lineRule="auto"/>
              <w:jc w:val="both"/>
              <w:cnfStyle w:val="000000100000" w:firstRow="0" w:lastRow="0" w:firstColumn="0" w:lastColumn="0" w:oddVBand="0" w:evenVBand="0" w:oddHBand="1" w:evenHBand="0" w:firstRowFirstColumn="0" w:firstRowLastColumn="0" w:lastRowFirstColumn="0" w:lastRowLastColumn="0"/>
              <w:rPr>
                <w:rFonts w:ascii="Palatino Linotype" w:eastAsia="Garamond" w:hAnsi="Palatino Linotype" w:cs="Garamond"/>
                <w:sz w:val="20"/>
                <w:lang w:val="en-ID"/>
              </w:rPr>
            </w:pPr>
            <w:r w:rsidRPr="008C1CF1">
              <w:rPr>
                <w:rFonts w:ascii="Palatino Linotype" w:eastAsia="Garamond" w:hAnsi="Palatino Linotype" w:cs="Garamond"/>
                <w:sz w:val="20"/>
                <w:lang w:val="en-ID"/>
              </w:rPr>
              <w:t>—</w:t>
            </w:r>
          </w:p>
        </w:tc>
      </w:tr>
    </w:tbl>
    <w:p w14:paraId="4AB6B41C" w14:textId="09C1313E" w:rsidR="00270742" w:rsidRDefault="00395876" w:rsidP="008C1CF1">
      <w:pPr>
        <w:spacing w:line="240" w:lineRule="auto"/>
        <w:ind w:firstLine="720"/>
        <w:jc w:val="right"/>
        <w:rPr>
          <w:rFonts w:ascii="Palatino Linotype" w:eastAsia="Garamond" w:hAnsi="Palatino Linotype" w:cs="Garamond"/>
          <w:sz w:val="22"/>
          <w:szCs w:val="22"/>
          <w:lang w:val="en-ID"/>
        </w:rPr>
      </w:pPr>
      <w:r>
        <w:rPr>
          <w:rFonts w:ascii="Palatino Linotype" w:eastAsia="Garamond" w:hAnsi="Palatino Linotype" w:cs="Garamond"/>
          <w:sz w:val="22"/>
          <w:szCs w:val="22"/>
          <w:lang w:val="en-ID"/>
        </w:rPr>
        <w:t xml:space="preserve">Source: </w:t>
      </w:r>
      <w:r w:rsidR="00270742">
        <w:rPr>
          <w:rFonts w:ascii="Palatino Linotype" w:eastAsia="Garamond" w:hAnsi="Palatino Linotype" w:cs="Garamond"/>
          <w:sz w:val="22"/>
          <w:szCs w:val="22"/>
          <w:lang w:val="en-ID"/>
        </w:rPr>
        <w:t>Data processed by researcher, 2026</w:t>
      </w:r>
    </w:p>
    <w:p w14:paraId="7C585522" w14:textId="77777777" w:rsidR="005522A6" w:rsidRDefault="005522A6" w:rsidP="005522A6">
      <w:pPr>
        <w:spacing w:line="360" w:lineRule="auto"/>
        <w:ind w:firstLine="720"/>
        <w:jc w:val="both"/>
        <w:rPr>
          <w:rFonts w:ascii="Palatino Linotype" w:eastAsia="Garamond" w:hAnsi="Palatino Linotype" w:cs="Garamond"/>
          <w:sz w:val="22"/>
          <w:szCs w:val="22"/>
          <w:lang w:val="en-ID"/>
        </w:rPr>
      </w:pPr>
    </w:p>
    <w:p w14:paraId="619A62C4" w14:textId="1B7B5E72" w:rsidR="005522A6" w:rsidRPr="008C1CF1" w:rsidRDefault="00395876" w:rsidP="008C1CF1">
      <w:pPr>
        <w:spacing w:line="360" w:lineRule="auto"/>
        <w:ind w:firstLine="720"/>
        <w:contextualSpacing/>
        <w:jc w:val="both"/>
        <w:rPr>
          <w:rFonts w:ascii="Palatino Linotype" w:eastAsia="Garamond" w:hAnsi="Palatino Linotype" w:cs="Garamond"/>
          <w:sz w:val="22"/>
          <w:szCs w:val="22"/>
          <w:lang w:val="en-ID"/>
        </w:rPr>
      </w:pPr>
      <w:r w:rsidRPr="00395876">
        <w:rPr>
          <w:rFonts w:ascii="Palatino Linotype" w:eastAsia="Garamond" w:hAnsi="Palatino Linotype" w:cs="Garamond"/>
          <w:sz w:val="22"/>
          <w:szCs w:val="22"/>
          <w:lang w:val="en-ID"/>
        </w:rPr>
        <w:t>Table 1 shows that worksheet activities followed the teacher’s explanation of the main material. Students were then directed to read and complete exercises, with guidance available when difficulties arose. Observations recorded differences in task initiation: some students proceeded promptly, while others waited for further instructions. WK’s account described the school’s expectation that students receive opportunities to attempt tasks before being assisted.</w:t>
      </w:r>
    </w:p>
    <w:p w14:paraId="543010E6" w14:textId="63C6EDB7" w:rsidR="00395876" w:rsidRPr="00395876" w:rsidRDefault="00395876" w:rsidP="008C1CF1">
      <w:pPr>
        <w:spacing w:line="360" w:lineRule="auto"/>
        <w:contextualSpacing/>
        <w:jc w:val="both"/>
        <w:rPr>
          <w:rFonts w:ascii="Palatino Linotype" w:eastAsia="Garamond" w:hAnsi="Palatino Linotype" w:cs="Garamond"/>
          <w:b/>
          <w:bCs/>
          <w:sz w:val="22"/>
          <w:szCs w:val="22"/>
          <w:lang w:val="en-ID"/>
        </w:rPr>
      </w:pPr>
      <w:r w:rsidRPr="00395876">
        <w:rPr>
          <w:rFonts w:ascii="Palatino Linotype" w:eastAsia="Garamond" w:hAnsi="Palatino Linotype" w:cs="Garamond"/>
          <w:b/>
          <w:bCs/>
          <w:sz w:val="22"/>
          <w:szCs w:val="22"/>
          <w:lang w:val="en-ID"/>
        </w:rPr>
        <w:t>Students’ Independent Learning During Worksheet Activities</w:t>
      </w:r>
    </w:p>
    <w:p w14:paraId="530529DC" w14:textId="77777777" w:rsidR="00395876" w:rsidRPr="00395876" w:rsidRDefault="00395876" w:rsidP="008C1CF1">
      <w:pPr>
        <w:spacing w:line="360" w:lineRule="auto"/>
        <w:ind w:firstLine="720"/>
        <w:contextualSpacing/>
        <w:jc w:val="both"/>
        <w:rPr>
          <w:rFonts w:ascii="Palatino Linotype" w:eastAsia="Garamond" w:hAnsi="Palatino Linotype" w:cs="Garamond"/>
          <w:sz w:val="22"/>
          <w:szCs w:val="22"/>
          <w:lang w:val="en-ID"/>
        </w:rPr>
      </w:pPr>
      <w:r w:rsidRPr="00395876">
        <w:rPr>
          <w:rFonts w:ascii="Palatino Linotype" w:eastAsia="Garamond" w:hAnsi="Palatino Linotype" w:cs="Garamond"/>
          <w:sz w:val="22"/>
          <w:szCs w:val="22"/>
          <w:lang w:val="en-ID"/>
        </w:rPr>
        <w:t xml:space="preserve">Student interviews provided accounts of reading, completing assignments, managing time, and seeking assistance. Observations recorded students’ </w:t>
      </w:r>
      <w:proofErr w:type="spellStart"/>
      <w:r w:rsidRPr="00395876">
        <w:rPr>
          <w:rFonts w:ascii="Palatino Linotype" w:eastAsia="Garamond" w:hAnsi="Palatino Linotype" w:cs="Garamond"/>
          <w:sz w:val="22"/>
          <w:szCs w:val="22"/>
          <w:lang w:val="en-ID"/>
        </w:rPr>
        <w:t>behavior</w:t>
      </w:r>
      <w:proofErr w:type="spellEnd"/>
      <w:r w:rsidRPr="00395876">
        <w:rPr>
          <w:rFonts w:ascii="Palatino Linotype" w:eastAsia="Garamond" w:hAnsi="Palatino Linotype" w:cs="Garamond"/>
          <w:sz w:val="22"/>
          <w:szCs w:val="22"/>
          <w:lang w:val="en-ID"/>
        </w:rPr>
        <w:t xml:space="preserve"> during these activities, including their confidence and need for reminders. Table 2 presents the evidence for each aspect.</w:t>
      </w:r>
    </w:p>
    <w:p w14:paraId="0823C2C1" w14:textId="77777777" w:rsidR="00395876" w:rsidRPr="00395876" w:rsidRDefault="00395876" w:rsidP="008C1CF1">
      <w:pPr>
        <w:spacing w:line="360" w:lineRule="auto"/>
        <w:contextualSpacing/>
        <w:jc w:val="center"/>
        <w:rPr>
          <w:rFonts w:ascii="Palatino Linotype" w:eastAsia="Garamond" w:hAnsi="Palatino Linotype" w:cs="Garamond"/>
          <w:sz w:val="22"/>
          <w:szCs w:val="22"/>
          <w:lang w:val="en-ID"/>
        </w:rPr>
      </w:pPr>
      <w:r w:rsidRPr="00395876">
        <w:rPr>
          <w:rFonts w:ascii="Palatino Linotype" w:eastAsia="Garamond" w:hAnsi="Palatino Linotype" w:cs="Garamond"/>
          <w:b/>
          <w:bCs/>
          <w:sz w:val="22"/>
          <w:szCs w:val="22"/>
          <w:lang w:val="en-ID"/>
        </w:rPr>
        <w:t xml:space="preserve">Table 2. </w:t>
      </w:r>
      <w:r w:rsidRPr="008C1CF1">
        <w:rPr>
          <w:rFonts w:ascii="Palatino Linotype" w:eastAsia="Garamond" w:hAnsi="Palatino Linotype" w:cs="Garamond"/>
          <w:sz w:val="22"/>
          <w:szCs w:val="22"/>
          <w:lang w:val="en-ID"/>
        </w:rPr>
        <w:t>Students’ Independent Learning During Worksheet Activities</w:t>
      </w:r>
    </w:p>
    <w:tbl>
      <w:tblPr>
        <w:tblStyle w:val="PlainTable2"/>
        <w:tblW w:w="9639" w:type="dxa"/>
        <w:tblLook w:val="04A0" w:firstRow="1" w:lastRow="0" w:firstColumn="1" w:lastColumn="0" w:noHBand="0" w:noVBand="1"/>
      </w:tblPr>
      <w:tblGrid>
        <w:gridCol w:w="494"/>
        <w:gridCol w:w="2282"/>
        <w:gridCol w:w="3175"/>
        <w:gridCol w:w="3688"/>
      </w:tblGrid>
      <w:tr w:rsidR="008C1CF1" w:rsidRPr="008C1CF1" w14:paraId="4A6B93F0" w14:textId="77777777" w:rsidTr="008C1C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311BF3C" w14:textId="73268C52" w:rsidR="008C1CF1" w:rsidRPr="008C1CF1" w:rsidRDefault="008C1CF1" w:rsidP="008C1CF1">
            <w:pPr>
              <w:spacing w:line="240" w:lineRule="auto"/>
              <w:jc w:val="center"/>
              <w:rPr>
                <w:rFonts w:ascii="Palatino Linotype" w:eastAsia="Garamond" w:hAnsi="Palatino Linotype" w:cs="Garamond"/>
                <w:sz w:val="20"/>
                <w:lang w:val="en-ID"/>
              </w:rPr>
            </w:pPr>
            <w:r w:rsidRPr="008C1CF1">
              <w:rPr>
                <w:rFonts w:ascii="Palatino Linotype" w:eastAsia="Garamond" w:hAnsi="Palatino Linotype" w:cs="Garamond"/>
                <w:sz w:val="20"/>
                <w:lang w:val="en-ID"/>
              </w:rPr>
              <w:t>No</w:t>
            </w:r>
          </w:p>
        </w:tc>
        <w:tc>
          <w:tcPr>
            <w:tcW w:w="2283" w:type="dxa"/>
            <w:hideMark/>
          </w:tcPr>
          <w:p w14:paraId="5EF313D1" w14:textId="371A9D4F" w:rsidR="008C1CF1" w:rsidRPr="008C1CF1" w:rsidRDefault="008C1CF1" w:rsidP="008C1CF1">
            <w:pPr>
              <w:spacing w:line="240" w:lineRule="auto"/>
              <w:ind w:right="-527"/>
              <w:jc w:val="center"/>
              <w:cnfStyle w:val="100000000000" w:firstRow="1" w:lastRow="0" w:firstColumn="0" w:lastColumn="0" w:oddVBand="0" w:evenVBand="0" w:oddHBand="0" w:evenHBand="0" w:firstRowFirstColumn="0" w:firstRowLastColumn="0" w:lastRowFirstColumn="0" w:lastRowLastColumn="0"/>
              <w:rPr>
                <w:rFonts w:ascii="Palatino Linotype" w:eastAsia="Garamond" w:hAnsi="Palatino Linotype" w:cs="Garamond"/>
                <w:sz w:val="20"/>
                <w:lang w:val="en-ID"/>
              </w:rPr>
            </w:pPr>
            <w:r w:rsidRPr="008C1CF1">
              <w:rPr>
                <w:rFonts w:ascii="Palatino Linotype" w:eastAsia="Garamond" w:hAnsi="Palatino Linotype" w:cs="Garamond"/>
                <w:sz w:val="20"/>
                <w:lang w:val="en-ID"/>
              </w:rPr>
              <w:t>Aspect</w:t>
            </w:r>
          </w:p>
        </w:tc>
        <w:tc>
          <w:tcPr>
            <w:tcW w:w="3178" w:type="dxa"/>
            <w:hideMark/>
          </w:tcPr>
          <w:p w14:paraId="2E4C317D" w14:textId="5452DAE3" w:rsidR="008C1CF1" w:rsidRPr="008C1CF1" w:rsidRDefault="008C1CF1" w:rsidP="008C1CF1">
            <w:pPr>
              <w:spacing w:line="240" w:lineRule="auto"/>
              <w:jc w:val="center"/>
              <w:cnfStyle w:val="100000000000" w:firstRow="1" w:lastRow="0" w:firstColumn="0" w:lastColumn="0" w:oddVBand="0" w:evenVBand="0" w:oddHBand="0" w:evenHBand="0" w:firstRowFirstColumn="0" w:firstRowLastColumn="0" w:lastRowFirstColumn="0" w:lastRowLastColumn="0"/>
              <w:rPr>
                <w:rFonts w:ascii="Palatino Linotype" w:eastAsia="Garamond" w:hAnsi="Palatino Linotype" w:cs="Garamond"/>
                <w:sz w:val="20"/>
                <w:lang w:val="en-ID"/>
              </w:rPr>
            </w:pPr>
            <w:r w:rsidRPr="008C1CF1">
              <w:rPr>
                <w:rFonts w:ascii="Palatino Linotype" w:eastAsia="Garamond" w:hAnsi="Palatino Linotype" w:cs="Garamond"/>
                <w:sz w:val="20"/>
                <w:lang w:val="en-ID"/>
              </w:rPr>
              <w:t>Student Interview Data</w:t>
            </w:r>
          </w:p>
        </w:tc>
        <w:tc>
          <w:tcPr>
            <w:tcW w:w="3692" w:type="dxa"/>
            <w:hideMark/>
          </w:tcPr>
          <w:p w14:paraId="3C1345DA" w14:textId="7A1763B5" w:rsidR="008C1CF1" w:rsidRPr="008C1CF1" w:rsidRDefault="008C1CF1" w:rsidP="008C1CF1">
            <w:pPr>
              <w:spacing w:line="240" w:lineRule="auto"/>
              <w:jc w:val="center"/>
              <w:cnfStyle w:val="100000000000" w:firstRow="1" w:lastRow="0" w:firstColumn="0" w:lastColumn="0" w:oddVBand="0" w:evenVBand="0" w:oddHBand="0" w:evenHBand="0" w:firstRowFirstColumn="0" w:firstRowLastColumn="0" w:lastRowFirstColumn="0" w:lastRowLastColumn="0"/>
              <w:rPr>
                <w:rFonts w:ascii="Palatino Linotype" w:eastAsia="Garamond" w:hAnsi="Palatino Linotype" w:cs="Garamond"/>
                <w:sz w:val="20"/>
                <w:lang w:val="en-ID"/>
              </w:rPr>
            </w:pPr>
            <w:r w:rsidRPr="008C1CF1">
              <w:rPr>
                <w:rFonts w:ascii="Palatino Linotype" w:eastAsia="Garamond" w:hAnsi="Palatino Linotype" w:cs="Garamond"/>
                <w:sz w:val="20"/>
                <w:lang w:val="en-ID"/>
              </w:rPr>
              <w:t>Observation Data</w:t>
            </w:r>
          </w:p>
        </w:tc>
      </w:tr>
      <w:tr w:rsidR="008C1CF1" w:rsidRPr="008C1CF1" w14:paraId="0F8FDCB8" w14:textId="77777777" w:rsidTr="008C1C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1978BEB" w14:textId="28E22B63" w:rsidR="008C1CF1" w:rsidRPr="008C1CF1" w:rsidRDefault="008C1CF1" w:rsidP="008C1CF1">
            <w:pPr>
              <w:spacing w:line="240" w:lineRule="auto"/>
              <w:jc w:val="center"/>
              <w:rPr>
                <w:rFonts w:ascii="Palatino Linotype" w:eastAsia="Garamond" w:hAnsi="Palatino Linotype" w:cs="Garamond"/>
                <w:sz w:val="20"/>
                <w:lang w:val="en-ID"/>
              </w:rPr>
            </w:pPr>
            <w:r w:rsidRPr="008C1CF1">
              <w:rPr>
                <w:rFonts w:ascii="Palatino Linotype" w:eastAsia="Garamond" w:hAnsi="Palatino Linotype" w:cs="Garamond"/>
                <w:sz w:val="20"/>
                <w:lang w:val="en-ID"/>
              </w:rPr>
              <w:t>1</w:t>
            </w:r>
          </w:p>
        </w:tc>
        <w:tc>
          <w:tcPr>
            <w:tcW w:w="2283" w:type="dxa"/>
            <w:hideMark/>
          </w:tcPr>
          <w:p w14:paraId="1C172C91" w14:textId="2AE22AFA" w:rsidR="008C1CF1" w:rsidRPr="008C1CF1" w:rsidRDefault="008C1CF1" w:rsidP="00395876">
            <w:pPr>
              <w:spacing w:line="240" w:lineRule="auto"/>
              <w:jc w:val="both"/>
              <w:cnfStyle w:val="000000100000" w:firstRow="0" w:lastRow="0" w:firstColumn="0" w:lastColumn="0" w:oddVBand="0" w:evenVBand="0" w:oddHBand="1" w:evenHBand="0" w:firstRowFirstColumn="0" w:firstRowLastColumn="0" w:lastRowFirstColumn="0" w:lastRowLastColumn="0"/>
              <w:rPr>
                <w:rFonts w:ascii="Palatino Linotype" w:eastAsia="Garamond" w:hAnsi="Palatino Linotype" w:cs="Garamond"/>
                <w:sz w:val="20"/>
                <w:lang w:val="en-ID"/>
              </w:rPr>
            </w:pPr>
            <w:r w:rsidRPr="008C1CF1">
              <w:rPr>
                <w:rFonts w:ascii="Palatino Linotype" w:eastAsia="Garamond" w:hAnsi="Palatino Linotype" w:cs="Garamond"/>
                <w:sz w:val="20"/>
                <w:lang w:val="en-ID"/>
              </w:rPr>
              <w:t>Reading before seeking assistance</w:t>
            </w:r>
          </w:p>
        </w:tc>
        <w:tc>
          <w:tcPr>
            <w:tcW w:w="3178" w:type="dxa"/>
            <w:hideMark/>
          </w:tcPr>
          <w:p w14:paraId="40156A01" w14:textId="77777777" w:rsidR="008C1CF1" w:rsidRPr="008C1CF1" w:rsidRDefault="008C1CF1" w:rsidP="00395876">
            <w:pPr>
              <w:spacing w:line="240" w:lineRule="auto"/>
              <w:jc w:val="both"/>
              <w:cnfStyle w:val="000000100000" w:firstRow="0" w:lastRow="0" w:firstColumn="0" w:lastColumn="0" w:oddVBand="0" w:evenVBand="0" w:oddHBand="1" w:evenHBand="0" w:firstRowFirstColumn="0" w:firstRowLastColumn="0" w:lastRowFirstColumn="0" w:lastRowLastColumn="0"/>
              <w:rPr>
                <w:rFonts w:ascii="Palatino Linotype" w:eastAsia="Garamond" w:hAnsi="Palatino Linotype" w:cs="Garamond"/>
                <w:sz w:val="20"/>
                <w:lang w:val="en-ID"/>
              </w:rPr>
            </w:pPr>
            <w:r w:rsidRPr="008C1CF1">
              <w:rPr>
                <w:rFonts w:ascii="Palatino Linotype" w:eastAsia="Garamond" w:hAnsi="Palatino Linotype" w:cs="Garamond"/>
                <w:sz w:val="20"/>
                <w:lang w:val="en-ID"/>
              </w:rPr>
              <w:t>S1, S3, and S7 read the material or instructions before asking the teacher. S9 reported reading the material first.</w:t>
            </w:r>
          </w:p>
        </w:tc>
        <w:tc>
          <w:tcPr>
            <w:tcW w:w="3692" w:type="dxa"/>
            <w:hideMark/>
          </w:tcPr>
          <w:p w14:paraId="10906C1A" w14:textId="77777777" w:rsidR="008C1CF1" w:rsidRPr="008C1CF1" w:rsidRDefault="008C1CF1" w:rsidP="00395876">
            <w:pPr>
              <w:spacing w:line="240" w:lineRule="auto"/>
              <w:jc w:val="both"/>
              <w:cnfStyle w:val="000000100000" w:firstRow="0" w:lastRow="0" w:firstColumn="0" w:lastColumn="0" w:oddVBand="0" w:evenVBand="0" w:oddHBand="1" w:evenHBand="0" w:firstRowFirstColumn="0" w:firstRowLastColumn="0" w:lastRowFirstColumn="0" w:lastRowLastColumn="0"/>
              <w:rPr>
                <w:rFonts w:ascii="Palatino Linotype" w:eastAsia="Garamond" w:hAnsi="Palatino Linotype" w:cs="Garamond"/>
                <w:sz w:val="20"/>
                <w:lang w:val="en-ID"/>
              </w:rPr>
            </w:pPr>
            <w:r w:rsidRPr="008C1CF1">
              <w:rPr>
                <w:rFonts w:ascii="Palatino Linotype" w:eastAsia="Garamond" w:hAnsi="Palatino Linotype" w:cs="Garamond"/>
                <w:sz w:val="20"/>
                <w:lang w:val="en-ID"/>
              </w:rPr>
              <w:t>Some students read the material and began assignments without further instructions.</w:t>
            </w:r>
          </w:p>
        </w:tc>
      </w:tr>
      <w:tr w:rsidR="008C1CF1" w:rsidRPr="008C1CF1" w14:paraId="184395C0" w14:textId="77777777" w:rsidTr="008C1CF1">
        <w:tc>
          <w:tcPr>
            <w:cnfStyle w:val="001000000000" w:firstRow="0" w:lastRow="0" w:firstColumn="1" w:lastColumn="0" w:oddVBand="0" w:evenVBand="0" w:oddHBand="0" w:evenHBand="0" w:firstRowFirstColumn="0" w:firstRowLastColumn="0" w:lastRowFirstColumn="0" w:lastRowLastColumn="0"/>
            <w:tcW w:w="0" w:type="auto"/>
          </w:tcPr>
          <w:p w14:paraId="31733E68" w14:textId="07A749B6" w:rsidR="008C1CF1" w:rsidRPr="008C1CF1" w:rsidRDefault="008C1CF1" w:rsidP="008C1CF1">
            <w:pPr>
              <w:spacing w:line="240" w:lineRule="auto"/>
              <w:jc w:val="center"/>
              <w:rPr>
                <w:rFonts w:ascii="Palatino Linotype" w:eastAsia="Garamond" w:hAnsi="Palatino Linotype" w:cs="Garamond"/>
                <w:sz w:val="20"/>
                <w:lang w:val="en-ID"/>
              </w:rPr>
            </w:pPr>
            <w:r w:rsidRPr="008C1CF1">
              <w:rPr>
                <w:rFonts w:ascii="Palatino Linotype" w:eastAsia="Garamond" w:hAnsi="Palatino Linotype" w:cs="Garamond"/>
                <w:sz w:val="20"/>
                <w:lang w:val="en-ID"/>
              </w:rPr>
              <w:t>2</w:t>
            </w:r>
          </w:p>
        </w:tc>
        <w:tc>
          <w:tcPr>
            <w:tcW w:w="2283" w:type="dxa"/>
            <w:hideMark/>
          </w:tcPr>
          <w:p w14:paraId="1D1325F5" w14:textId="6DDF7AB4" w:rsidR="008C1CF1" w:rsidRPr="008C1CF1" w:rsidRDefault="008C1CF1" w:rsidP="00395876">
            <w:pPr>
              <w:spacing w:line="240" w:lineRule="auto"/>
              <w:jc w:val="both"/>
              <w:cnfStyle w:val="000000000000" w:firstRow="0" w:lastRow="0" w:firstColumn="0" w:lastColumn="0" w:oddVBand="0" w:evenVBand="0" w:oddHBand="0" w:evenHBand="0" w:firstRowFirstColumn="0" w:firstRowLastColumn="0" w:lastRowFirstColumn="0" w:lastRowLastColumn="0"/>
              <w:rPr>
                <w:rFonts w:ascii="Palatino Linotype" w:eastAsia="Garamond" w:hAnsi="Palatino Linotype" w:cs="Garamond"/>
                <w:sz w:val="20"/>
                <w:lang w:val="en-ID"/>
              </w:rPr>
            </w:pPr>
            <w:r w:rsidRPr="008C1CF1">
              <w:rPr>
                <w:rFonts w:ascii="Palatino Linotype" w:eastAsia="Garamond" w:hAnsi="Palatino Linotype" w:cs="Garamond"/>
                <w:sz w:val="20"/>
                <w:lang w:val="en-ID"/>
              </w:rPr>
              <w:t>Attempting tasks independently</w:t>
            </w:r>
          </w:p>
        </w:tc>
        <w:tc>
          <w:tcPr>
            <w:tcW w:w="3178" w:type="dxa"/>
            <w:hideMark/>
          </w:tcPr>
          <w:p w14:paraId="02A3FACE" w14:textId="77777777" w:rsidR="008C1CF1" w:rsidRPr="008C1CF1" w:rsidRDefault="008C1CF1" w:rsidP="00395876">
            <w:pPr>
              <w:spacing w:line="240" w:lineRule="auto"/>
              <w:jc w:val="both"/>
              <w:cnfStyle w:val="000000000000" w:firstRow="0" w:lastRow="0" w:firstColumn="0" w:lastColumn="0" w:oddVBand="0" w:evenVBand="0" w:oddHBand="0" w:evenHBand="0" w:firstRowFirstColumn="0" w:firstRowLastColumn="0" w:lastRowFirstColumn="0" w:lastRowLastColumn="0"/>
              <w:rPr>
                <w:rFonts w:ascii="Palatino Linotype" w:eastAsia="Garamond" w:hAnsi="Palatino Linotype" w:cs="Garamond"/>
                <w:sz w:val="20"/>
                <w:lang w:val="en-ID"/>
              </w:rPr>
            </w:pPr>
            <w:r w:rsidRPr="008C1CF1">
              <w:rPr>
                <w:rFonts w:ascii="Palatino Linotype" w:eastAsia="Garamond" w:hAnsi="Palatino Linotype" w:cs="Garamond"/>
                <w:sz w:val="20"/>
                <w:lang w:val="en-ID"/>
              </w:rPr>
              <w:t>S7 attempted tasks independently. S9 searched for answers in the worksheet material. S10 attempted tasks before asking others.</w:t>
            </w:r>
          </w:p>
        </w:tc>
        <w:tc>
          <w:tcPr>
            <w:tcW w:w="3692" w:type="dxa"/>
            <w:hideMark/>
          </w:tcPr>
          <w:p w14:paraId="67D9594C" w14:textId="77777777" w:rsidR="008C1CF1" w:rsidRPr="008C1CF1" w:rsidRDefault="008C1CF1" w:rsidP="00395876">
            <w:pPr>
              <w:spacing w:line="240" w:lineRule="auto"/>
              <w:jc w:val="both"/>
              <w:cnfStyle w:val="000000000000" w:firstRow="0" w:lastRow="0" w:firstColumn="0" w:lastColumn="0" w:oddVBand="0" w:evenVBand="0" w:oddHBand="0" w:evenHBand="0" w:firstRowFirstColumn="0" w:firstRowLastColumn="0" w:lastRowFirstColumn="0" w:lastRowLastColumn="0"/>
              <w:rPr>
                <w:rFonts w:ascii="Palatino Linotype" w:eastAsia="Garamond" w:hAnsi="Palatino Linotype" w:cs="Garamond"/>
                <w:sz w:val="20"/>
                <w:lang w:val="en-ID"/>
              </w:rPr>
            </w:pPr>
            <w:r w:rsidRPr="008C1CF1">
              <w:rPr>
                <w:rFonts w:ascii="Palatino Linotype" w:eastAsia="Garamond" w:hAnsi="Palatino Linotype" w:cs="Garamond"/>
                <w:sz w:val="20"/>
                <w:lang w:val="en-ID"/>
              </w:rPr>
              <w:t>Students attempted to understand the material and solve questions before seeking assistance.</w:t>
            </w:r>
          </w:p>
        </w:tc>
      </w:tr>
      <w:tr w:rsidR="008C1CF1" w:rsidRPr="008C1CF1" w14:paraId="07745613" w14:textId="77777777" w:rsidTr="008C1C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62C3255" w14:textId="37C38F4E" w:rsidR="008C1CF1" w:rsidRPr="008C1CF1" w:rsidRDefault="008C1CF1" w:rsidP="008C1CF1">
            <w:pPr>
              <w:spacing w:line="240" w:lineRule="auto"/>
              <w:jc w:val="center"/>
              <w:rPr>
                <w:rFonts w:ascii="Palatino Linotype" w:eastAsia="Garamond" w:hAnsi="Palatino Linotype" w:cs="Garamond"/>
                <w:sz w:val="20"/>
                <w:lang w:val="en-ID"/>
              </w:rPr>
            </w:pPr>
            <w:r w:rsidRPr="008C1CF1">
              <w:rPr>
                <w:rFonts w:ascii="Palatino Linotype" w:eastAsia="Garamond" w:hAnsi="Palatino Linotype" w:cs="Garamond"/>
                <w:sz w:val="20"/>
                <w:lang w:val="en-ID"/>
              </w:rPr>
              <w:t>3</w:t>
            </w:r>
          </w:p>
        </w:tc>
        <w:tc>
          <w:tcPr>
            <w:tcW w:w="2283" w:type="dxa"/>
            <w:hideMark/>
          </w:tcPr>
          <w:p w14:paraId="73D4A8C2" w14:textId="2D2DEEBA" w:rsidR="008C1CF1" w:rsidRPr="008C1CF1" w:rsidRDefault="008C1CF1" w:rsidP="00395876">
            <w:pPr>
              <w:spacing w:line="240" w:lineRule="auto"/>
              <w:jc w:val="both"/>
              <w:cnfStyle w:val="000000100000" w:firstRow="0" w:lastRow="0" w:firstColumn="0" w:lastColumn="0" w:oddVBand="0" w:evenVBand="0" w:oddHBand="1" w:evenHBand="0" w:firstRowFirstColumn="0" w:firstRowLastColumn="0" w:lastRowFirstColumn="0" w:lastRowLastColumn="0"/>
              <w:rPr>
                <w:rFonts w:ascii="Palatino Linotype" w:eastAsia="Garamond" w:hAnsi="Palatino Linotype" w:cs="Garamond"/>
                <w:sz w:val="20"/>
                <w:lang w:val="en-ID"/>
              </w:rPr>
            </w:pPr>
            <w:r w:rsidRPr="008C1CF1">
              <w:rPr>
                <w:rFonts w:ascii="Palatino Linotype" w:eastAsia="Garamond" w:hAnsi="Palatino Linotype" w:cs="Garamond"/>
                <w:sz w:val="20"/>
                <w:lang w:val="en-ID"/>
              </w:rPr>
              <w:t>Time management and task completion</w:t>
            </w:r>
          </w:p>
        </w:tc>
        <w:tc>
          <w:tcPr>
            <w:tcW w:w="3178" w:type="dxa"/>
            <w:hideMark/>
          </w:tcPr>
          <w:p w14:paraId="405B1BA7" w14:textId="77777777" w:rsidR="008C1CF1" w:rsidRPr="008C1CF1" w:rsidRDefault="008C1CF1" w:rsidP="00395876">
            <w:pPr>
              <w:spacing w:line="240" w:lineRule="auto"/>
              <w:jc w:val="both"/>
              <w:cnfStyle w:val="000000100000" w:firstRow="0" w:lastRow="0" w:firstColumn="0" w:lastColumn="0" w:oddVBand="0" w:evenVBand="0" w:oddHBand="1" w:evenHBand="0" w:firstRowFirstColumn="0" w:firstRowLastColumn="0" w:lastRowFirstColumn="0" w:lastRowLastColumn="0"/>
              <w:rPr>
                <w:rFonts w:ascii="Palatino Linotype" w:eastAsia="Garamond" w:hAnsi="Palatino Linotype" w:cs="Garamond"/>
                <w:sz w:val="20"/>
                <w:lang w:val="en-ID"/>
              </w:rPr>
            </w:pPr>
            <w:r w:rsidRPr="008C1CF1">
              <w:rPr>
                <w:rFonts w:ascii="Palatino Linotype" w:eastAsia="Garamond" w:hAnsi="Palatino Linotype" w:cs="Garamond"/>
                <w:sz w:val="20"/>
                <w:lang w:val="en-ID"/>
              </w:rPr>
              <w:t>S1 completed assignments gradually to avoid late submission. S3 began assignments promptly so they would not accumulate.</w:t>
            </w:r>
          </w:p>
        </w:tc>
        <w:tc>
          <w:tcPr>
            <w:tcW w:w="3692" w:type="dxa"/>
            <w:hideMark/>
          </w:tcPr>
          <w:p w14:paraId="0240B535" w14:textId="77777777" w:rsidR="008C1CF1" w:rsidRPr="008C1CF1" w:rsidRDefault="008C1CF1" w:rsidP="00395876">
            <w:pPr>
              <w:spacing w:line="240" w:lineRule="auto"/>
              <w:jc w:val="both"/>
              <w:cnfStyle w:val="000000100000" w:firstRow="0" w:lastRow="0" w:firstColumn="0" w:lastColumn="0" w:oddVBand="0" w:evenVBand="0" w:oddHBand="1" w:evenHBand="0" w:firstRowFirstColumn="0" w:firstRowLastColumn="0" w:lastRowFirstColumn="0" w:lastRowLastColumn="0"/>
              <w:rPr>
                <w:rFonts w:ascii="Palatino Linotype" w:eastAsia="Garamond" w:hAnsi="Palatino Linotype" w:cs="Garamond"/>
                <w:sz w:val="20"/>
                <w:lang w:val="en-ID"/>
              </w:rPr>
            </w:pPr>
            <w:r w:rsidRPr="008C1CF1">
              <w:rPr>
                <w:rFonts w:ascii="Palatino Linotype" w:eastAsia="Garamond" w:hAnsi="Palatino Linotype" w:cs="Garamond"/>
                <w:sz w:val="20"/>
                <w:lang w:val="en-ID"/>
              </w:rPr>
              <w:t>Students worked toward completing assignments by the deadline; some needed teacher reminders.</w:t>
            </w:r>
          </w:p>
        </w:tc>
      </w:tr>
      <w:tr w:rsidR="008C1CF1" w:rsidRPr="008C1CF1" w14:paraId="6F82506D" w14:textId="77777777" w:rsidTr="008C1CF1">
        <w:tc>
          <w:tcPr>
            <w:cnfStyle w:val="001000000000" w:firstRow="0" w:lastRow="0" w:firstColumn="1" w:lastColumn="0" w:oddVBand="0" w:evenVBand="0" w:oddHBand="0" w:evenHBand="0" w:firstRowFirstColumn="0" w:firstRowLastColumn="0" w:lastRowFirstColumn="0" w:lastRowLastColumn="0"/>
            <w:tcW w:w="0" w:type="auto"/>
          </w:tcPr>
          <w:p w14:paraId="56976D0D" w14:textId="645D620D" w:rsidR="008C1CF1" w:rsidRPr="008C1CF1" w:rsidRDefault="008C1CF1" w:rsidP="008C1CF1">
            <w:pPr>
              <w:spacing w:line="240" w:lineRule="auto"/>
              <w:jc w:val="center"/>
              <w:rPr>
                <w:rFonts w:ascii="Palatino Linotype" w:eastAsia="Garamond" w:hAnsi="Palatino Linotype" w:cs="Garamond"/>
                <w:sz w:val="20"/>
                <w:lang w:val="en-ID"/>
              </w:rPr>
            </w:pPr>
            <w:r w:rsidRPr="008C1CF1">
              <w:rPr>
                <w:rFonts w:ascii="Palatino Linotype" w:eastAsia="Garamond" w:hAnsi="Palatino Linotype" w:cs="Garamond"/>
                <w:sz w:val="20"/>
                <w:lang w:val="en-ID"/>
              </w:rPr>
              <w:t>4</w:t>
            </w:r>
          </w:p>
        </w:tc>
        <w:tc>
          <w:tcPr>
            <w:tcW w:w="2283" w:type="dxa"/>
            <w:hideMark/>
          </w:tcPr>
          <w:p w14:paraId="1516C3A4" w14:textId="7893BBC5" w:rsidR="008C1CF1" w:rsidRPr="008C1CF1" w:rsidRDefault="008C1CF1" w:rsidP="00395876">
            <w:pPr>
              <w:spacing w:line="240" w:lineRule="auto"/>
              <w:jc w:val="both"/>
              <w:cnfStyle w:val="000000000000" w:firstRow="0" w:lastRow="0" w:firstColumn="0" w:lastColumn="0" w:oddVBand="0" w:evenVBand="0" w:oddHBand="0" w:evenHBand="0" w:firstRowFirstColumn="0" w:firstRowLastColumn="0" w:lastRowFirstColumn="0" w:lastRowLastColumn="0"/>
              <w:rPr>
                <w:rFonts w:ascii="Palatino Linotype" w:eastAsia="Garamond" w:hAnsi="Palatino Linotype" w:cs="Garamond"/>
                <w:sz w:val="20"/>
                <w:lang w:val="en-ID"/>
              </w:rPr>
            </w:pPr>
            <w:r w:rsidRPr="008C1CF1">
              <w:rPr>
                <w:rFonts w:ascii="Palatino Linotype" w:eastAsia="Garamond" w:hAnsi="Palatino Linotype" w:cs="Garamond"/>
                <w:sz w:val="20"/>
                <w:lang w:val="en-ID"/>
              </w:rPr>
              <w:t>Confidence</w:t>
            </w:r>
          </w:p>
        </w:tc>
        <w:tc>
          <w:tcPr>
            <w:tcW w:w="3178" w:type="dxa"/>
            <w:hideMark/>
          </w:tcPr>
          <w:p w14:paraId="255C1F8C" w14:textId="77777777" w:rsidR="008C1CF1" w:rsidRPr="008C1CF1" w:rsidRDefault="008C1CF1" w:rsidP="00395876">
            <w:pPr>
              <w:spacing w:line="240" w:lineRule="auto"/>
              <w:jc w:val="both"/>
              <w:cnfStyle w:val="000000000000" w:firstRow="0" w:lastRow="0" w:firstColumn="0" w:lastColumn="0" w:oddVBand="0" w:evenVBand="0" w:oddHBand="0" w:evenHBand="0" w:firstRowFirstColumn="0" w:firstRowLastColumn="0" w:lastRowFirstColumn="0" w:lastRowLastColumn="0"/>
              <w:rPr>
                <w:rFonts w:ascii="Palatino Linotype" w:eastAsia="Garamond" w:hAnsi="Palatino Linotype" w:cs="Garamond"/>
                <w:sz w:val="20"/>
                <w:lang w:val="en-ID"/>
              </w:rPr>
            </w:pPr>
            <w:r w:rsidRPr="008C1CF1">
              <w:rPr>
                <w:rFonts w:ascii="Palatino Linotype" w:eastAsia="Garamond" w:hAnsi="Palatino Linotype" w:cs="Garamond"/>
                <w:sz w:val="20"/>
                <w:lang w:val="en-ID"/>
              </w:rPr>
              <w:t>S4 reported uncertainty when answering independently, particularly when unsure of the answer.</w:t>
            </w:r>
          </w:p>
        </w:tc>
        <w:tc>
          <w:tcPr>
            <w:tcW w:w="3692" w:type="dxa"/>
            <w:hideMark/>
          </w:tcPr>
          <w:p w14:paraId="5A32F232" w14:textId="77777777" w:rsidR="008C1CF1" w:rsidRPr="008C1CF1" w:rsidRDefault="008C1CF1" w:rsidP="00395876">
            <w:pPr>
              <w:spacing w:line="240" w:lineRule="auto"/>
              <w:jc w:val="both"/>
              <w:cnfStyle w:val="000000000000" w:firstRow="0" w:lastRow="0" w:firstColumn="0" w:lastColumn="0" w:oddVBand="0" w:evenVBand="0" w:oddHBand="0" w:evenHBand="0" w:firstRowFirstColumn="0" w:firstRowLastColumn="0" w:lastRowFirstColumn="0" w:lastRowLastColumn="0"/>
              <w:rPr>
                <w:rFonts w:ascii="Palatino Linotype" w:eastAsia="Garamond" w:hAnsi="Palatino Linotype" w:cs="Garamond"/>
                <w:sz w:val="20"/>
                <w:lang w:val="en-ID"/>
              </w:rPr>
            </w:pPr>
            <w:r w:rsidRPr="008C1CF1">
              <w:rPr>
                <w:rFonts w:ascii="Palatino Linotype" w:eastAsia="Garamond" w:hAnsi="Palatino Linotype" w:cs="Garamond"/>
                <w:sz w:val="20"/>
                <w:lang w:val="en-ID"/>
              </w:rPr>
              <w:t>Some students confidently shared answers; others hesitated and needed encouragement.</w:t>
            </w:r>
          </w:p>
        </w:tc>
      </w:tr>
      <w:tr w:rsidR="008C1CF1" w:rsidRPr="008C1CF1" w14:paraId="16BBFCE9" w14:textId="77777777" w:rsidTr="008C1C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D9B11D0" w14:textId="6D8767D5" w:rsidR="008C1CF1" w:rsidRPr="008C1CF1" w:rsidRDefault="008C1CF1" w:rsidP="008C1CF1">
            <w:pPr>
              <w:spacing w:line="240" w:lineRule="auto"/>
              <w:jc w:val="center"/>
              <w:rPr>
                <w:rFonts w:ascii="Palatino Linotype" w:eastAsia="Garamond" w:hAnsi="Palatino Linotype" w:cs="Garamond"/>
                <w:sz w:val="20"/>
                <w:lang w:val="en-ID"/>
              </w:rPr>
            </w:pPr>
            <w:r w:rsidRPr="008C1CF1">
              <w:rPr>
                <w:rFonts w:ascii="Palatino Linotype" w:eastAsia="Garamond" w:hAnsi="Palatino Linotype" w:cs="Garamond"/>
                <w:sz w:val="20"/>
                <w:lang w:val="en-ID"/>
              </w:rPr>
              <w:t>5</w:t>
            </w:r>
          </w:p>
        </w:tc>
        <w:tc>
          <w:tcPr>
            <w:tcW w:w="2283" w:type="dxa"/>
            <w:hideMark/>
          </w:tcPr>
          <w:p w14:paraId="7554492D" w14:textId="0A3F6890" w:rsidR="008C1CF1" w:rsidRPr="008C1CF1" w:rsidRDefault="008C1CF1" w:rsidP="00395876">
            <w:pPr>
              <w:spacing w:line="240" w:lineRule="auto"/>
              <w:jc w:val="both"/>
              <w:cnfStyle w:val="000000100000" w:firstRow="0" w:lastRow="0" w:firstColumn="0" w:lastColumn="0" w:oddVBand="0" w:evenVBand="0" w:oddHBand="1" w:evenHBand="0" w:firstRowFirstColumn="0" w:firstRowLastColumn="0" w:lastRowFirstColumn="0" w:lastRowLastColumn="0"/>
              <w:rPr>
                <w:rFonts w:ascii="Palatino Linotype" w:eastAsia="Garamond" w:hAnsi="Palatino Linotype" w:cs="Garamond"/>
                <w:sz w:val="20"/>
                <w:lang w:val="en-ID"/>
              </w:rPr>
            </w:pPr>
            <w:r w:rsidRPr="008C1CF1">
              <w:rPr>
                <w:rFonts w:ascii="Palatino Linotype" w:eastAsia="Garamond" w:hAnsi="Palatino Linotype" w:cs="Garamond"/>
                <w:sz w:val="20"/>
                <w:lang w:val="en-ID"/>
              </w:rPr>
              <w:t>Waiting for explanations</w:t>
            </w:r>
          </w:p>
        </w:tc>
        <w:tc>
          <w:tcPr>
            <w:tcW w:w="3178" w:type="dxa"/>
            <w:hideMark/>
          </w:tcPr>
          <w:p w14:paraId="3D882C9F" w14:textId="77777777" w:rsidR="008C1CF1" w:rsidRPr="008C1CF1" w:rsidRDefault="008C1CF1" w:rsidP="00395876">
            <w:pPr>
              <w:spacing w:line="240" w:lineRule="auto"/>
              <w:jc w:val="both"/>
              <w:cnfStyle w:val="000000100000" w:firstRow="0" w:lastRow="0" w:firstColumn="0" w:lastColumn="0" w:oddVBand="0" w:evenVBand="0" w:oddHBand="1" w:evenHBand="0" w:firstRowFirstColumn="0" w:firstRowLastColumn="0" w:lastRowFirstColumn="0" w:lastRowLastColumn="0"/>
              <w:rPr>
                <w:rFonts w:ascii="Palatino Linotype" w:eastAsia="Garamond" w:hAnsi="Palatino Linotype" w:cs="Garamond"/>
                <w:sz w:val="20"/>
                <w:lang w:val="en-ID"/>
              </w:rPr>
            </w:pPr>
            <w:r w:rsidRPr="008C1CF1">
              <w:rPr>
                <w:rFonts w:ascii="Palatino Linotype" w:eastAsia="Garamond" w:hAnsi="Palatino Linotype" w:cs="Garamond"/>
                <w:sz w:val="20"/>
                <w:lang w:val="en-ID"/>
              </w:rPr>
              <w:t>S4 sometimes waited for teacher explanations. S6 reported doing so more frequently. S10 occasionally waited despite reading the instructions first.</w:t>
            </w:r>
          </w:p>
        </w:tc>
        <w:tc>
          <w:tcPr>
            <w:tcW w:w="3692" w:type="dxa"/>
            <w:hideMark/>
          </w:tcPr>
          <w:p w14:paraId="2C24B18B" w14:textId="77777777" w:rsidR="008C1CF1" w:rsidRPr="008C1CF1" w:rsidRDefault="008C1CF1" w:rsidP="00395876">
            <w:pPr>
              <w:spacing w:line="240" w:lineRule="auto"/>
              <w:jc w:val="both"/>
              <w:cnfStyle w:val="000000100000" w:firstRow="0" w:lastRow="0" w:firstColumn="0" w:lastColumn="0" w:oddVBand="0" w:evenVBand="0" w:oddHBand="1" w:evenHBand="0" w:firstRowFirstColumn="0" w:firstRowLastColumn="0" w:lastRowFirstColumn="0" w:lastRowLastColumn="0"/>
              <w:rPr>
                <w:rFonts w:ascii="Palatino Linotype" w:eastAsia="Garamond" w:hAnsi="Palatino Linotype" w:cs="Garamond"/>
                <w:sz w:val="20"/>
                <w:lang w:val="en-ID"/>
              </w:rPr>
            </w:pPr>
            <w:r w:rsidRPr="008C1CF1">
              <w:rPr>
                <w:rFonts w:ascii="Palatino Linotype" w:eastAsia="Garamond" w:hAnsi="Palatino Linotype" w:cs="Garamond"/>
                <w:sz w:val="20"/>
                <w:lang w:val="en-ID"/>
              </w:rPr>
              <w:t>Some students waited for teacher instructions before beginning activities.</w:t>
            </w:r>
          </w:p>
        </w:tc>
      </w:tr>
      <w:tr w:rsidR="008C1CF1" w:rsidRPr="008C1CF1" w14:paraId="02DDC4A9" w14:textId="77777777" w:rsidTr="008C1CF1">
        <w:tc>
          <w:tcPr>
            <w:cnfStyle w:val="001000000000" w:firstRow="0" w:lastRow="0" w:firstColumn="1" w:lastColumn="0" w:oddVBand="0" w:evenVBand="0" w:oddHBand="0" w:evenHBand="0" w:firstRowFirstColumn="0" w:firstRowLastColumn="0" w:lastRowFirstColumn="0" w:lastRowLastColumn="0"/>
            <w:tcW w:w="0" w:type="auto"/>
          </w:tcPr>
          <w:p w14:paraId="0A5F3F87" w14:textId="7EA751C8" w:rsidR="008C1CF1" w:rsidRPr="008C1CF1" w:rsidRDefault="008C1CF1" w:rsidP="00395876">
            <w:pPr>
              <w:spacing w:line="240" w:lineRule="auto"/>
              <w:jc w:val="both"/>
              <w:rPr>
                <w:rFonts w:ascii="Palatino Linotype" w:eastAsia="Garamond" w:hAnsi="Palatino Linotype" w:cs="Garamond"/>
                <w:sz w:val="20"/>
                <w:lang w:val="en-ID"/>
              </w:rPr>
            </w:pPr>
            <w:r w:rsidRPr="008C1CF1">
              <w:rPr>
                <w:rFonts w:ascii="Palatino Linotype" w:eastAsia="Garamond" w:hAnsi="Palatino Linotype" w:cs="Garamond"/>
                <w:sz w:val="20"/>
                <w:lang w:val="en-ID"/>
              </w:rPr>
              <w:lastRenderedPageBreak/>
              <w:t>6</w:t>
            </w:r>
          </w:p>
        </w:tc>
        <w:tc>
          <w:tcPr>
            <w:tcW w:w="2283" w:type="dxa"/>
            <w:hideMark/>
          </w:tcPr>
          <w:p w14:paraId="44E24133" w14:textId="01072691" w:rsidR="008C1CF1" w:rsidRPr="008C1CF1" w:rsidRDefault="008C1CF1" w:rsidP="00395876">
            <w:pPr>
              <w:spacing w:line="240" w:lineRule="auto"/>
              <w:jc w:val="both"/>
              <w:cnfStyle w:val="000000000000" w:firstRow="0" w:lastRow="0" w:firstColumn="0" w:lastColumn="0" w:oddVBand="0" w:evenVBand="0" w:oddHBand="0" w:evenHBand="0" w:firstRowFirstColumn="0" w:firstRowLastColumn="0" w:lastRowFirstColumn="0" w:lastRowLastColumn="0"/>
              <w:rPr>
                <w:rFonts w:ascii="Palatino Linotype" w:eastAsia="Garamond" w:hAnsi="Palatino Linotype" w:cs="Garamond"/>
                <w:sz w:val="20"/>
                <w:lang w:val="en-ID"/>
              </w:rPr>
            </w:pPr>
            <w:r w:rsidRPr="008C1CF1">
              <w:rPr>
                <w:rFonts w:ascii="Palatino Linotype" w:eastAsia="Garamond" w:hAnsi="Palatino Linotype" w:cs="Garamond"/>
                <w:sz w:val="20"/>
                <w:lang w:val="en-ID"/>
              </w:rPr>
              <w:t>Seeking assistance</w:t>
            </w:r>
          </w:p>
        </w:tc>
        <w:tc>
          <w:tcPr>
            <w:tcW w:w="3178" w:type="dxa"/>
            <w:hideMark/>
          </w:tcPr>
          <w:p w14:paraId="36EC111A" w14:textId="77777777" w:rsidR="008C1CF1" w:rsidRPr="008C1CF1" w:rsidRDefault="008C1CF1" w:rsidP="00395876">
            <w:pPr>
              <w:spacing w:line="240" w:lineRule="auto"/>
              <w:jc w:val="both"/>
              <w:cnfStyle w:val="000000000000" w:firstRow="0" w:lastRow="0" w:firstColumn="0" w:lastColumn="0" w:oddVBand="0" w:evenVBand="0" w:oddHBand="0" w:evenHBand="0" w:firstRowFirstColumn="0" w:firstRowLastColumn="0" w:lastRowFirstColumn="0" w:lastRowLastColumn="0"/>
              <w:rPr>
                <w:rFonts w:ascii="Palatino Linotype" w:eastAsia="Garamond" w:hAnsi="Palatino Linotype" w:cs="Garamond"/>
                <w:sz w:val="20"/>
                <w:lang w:val="en-ID"/>
              </w:rPr>
            </w:pPr>
            <w:r w:rsidRPr="008C1CF1">
              <w:rPr>
                <w:rFonts w:ascii="Palatino Linotype" w:eastAsia="Garamond" w:hAnsi="Palatino Linotype" w:cs="Garamond"/>
                <w:sz w:val="20"/>
                <w:lang w:val="en-ID"/>
              </w:rPr>
              <w:t>S6 asked classmates after unsuccessful attempts. S10 approached classmates or the teacher after attempting tasks independently.</w:t>
            </w:r>
          </w:p>
        </w:tc>
        <w:tc>
          <w:tcPr>
            <w:tcW w:w="3692" w:type="dxa"/>
            <w:hideMark/>
          </w:tcPr>
          <w:p w14:paraId="1958E88A" w14:textId="77777777" w:rsidR="008C1CF1" w:rsidRPr="008C1CF1" w:rsidRDefault="008C1CF1" w:rsidP="00395876">
            <w:pPr>
              <w:spacing w:line="240" w:lineRule="auto"/>
              <w:jc w:val="both"/>
              <w:cnfStyle w:val="000000000000" w:firstRow="0" w:lastRow="0" w:firstColumn="0" w:lastColumn="0" w:oddVBand="0" w:evenVBand="0" w:oddHBand="0" w:evenHBand="0" w:firstRowFirstColumn="0" w:firstRowLastColumn="0" w:lastRowFirstColumn="0" w:lastRowLastColumn="0"/>
              <w:rPr>
                <w:rFonts w:ascii="Palatino Linotype" w:eastAsia="Garamond" w:hAnsi="Palatino Linotype" w:cs="Garamond"/>
                <w:sz w:val="20"/>
                <w:lang w:val="en-ID"/>
              </w:rPr>
            </w:pPr>
            <w:r w:rsidRPr="008C1CF1">
              <w:rPr>
                <w:rFonts w:ascii="Palatino Linotype" w:eastAsia="Garamond" w:hAnsi="Palatino Linotype" w:cs="Garamond"/>
                <w:sz w:val="20"/>
                <w:lang w:val="en-ID"/>
              </w:rPr>
              <w:t>Students sought assistance from teachers or classmates when encountering difficulties.</w:t>
            </w:r>
          </w:p>
        </w:tc>
      </w:tr>
    </w:tbl>
    <w:p w14:paraId="7C7EE036" w14:textId="5E82EEA8" w:rsidR="005522A6" w:rsidRPr="008C1CF1" w:rsidRDefault="005522A6" w:rsidP="008C1CF1">
      <w:pPr>
        <w:spacing w:line="360" w:lineRule="auto"/>
        <w:ind w:firstLine="720"/>
        <w:jc w:val="right"/>
        <w:rPr>
          <w:rFonts w:ascii="Palatino Linotype" w:eastAsia="Garamond" w:hAnsi="Palatino Linotype" w:cs="Garamond"/>
          <w:sz w:val="22"/>
          <w:szCs w:val="22"/>
          <w:lang w:val="en-ID"/>
        </w:rPr>
      </w:pPr>
      <w:r w:rsidRPr="005522A6">
        <w:rPr>
          <w:rFonts w:ascii="Palatino Linotype" w:eastAsia="Garamond" w:hAnsi="Palatino Linotype" w:cs="Garamond"/>
          <w:sz w:val="22"/>
          <w:szCs w:val="22"/>
          <w:lang w:val="en-ID"/>
        </w:rPr>
        <w:t>Source: Data processed by researcher, 2026</w:t>
      </w:r>
    </w:p>
    <w:p w14:paraId="0A8255B1" w14:textId="77777777" w:rsidR="008C1CF1" w:rsidRDefault="008C1CF1" w:rsidP="008C1CF1">
      <w:pPr>
        <w:spacing w:line="360" w:lineRule="auto"/>
        <w:ind w:firstLine="720"/>
        <w:contextualSpacing/>
        <w:jc w:val="both"/>
        <w:rPr>
          <w:rFonts w:ascii="Palatino Linotype" w:eastAsia="Garamond" w:hAnsi="Palatino Linotype" w:cs="Garamond"/>
          <w:sz w:val="22"/>
          <w:szCs w:val="22"/>
          <w:lang w:val="en-ID"/>
        </w:rPr>
      </w:pPr>
    </w:p>
    <w:p w14:paraId="013928E1" w14:textId="76579B2B" w:rsidR="005522A6" w:rsidRPr="008C1CF1" w:rsidRDefault="00395876" w:rsidP="008C1CF1">
      <w:pPr>
        <w:spacing w:line="360" w:lineRule="auto"/>
        <w:ind w:firstLine="720"/>
        <w:contextualSpacing/>
        <w:jc w:val="both"/>
        <w:rPr>
          <w:rFonts w:ascii="Palatino Linotype" w:eastAsia="Garamond" w:hAnsi="Palatino Linotype" w:cs="Garamond"/>
          <w:sz w:val="22"/>
          <w:szCs w:val="22"/>
          <w:lang w:val="en-ID"/>
        </w:rPr>
      </w:pPr>
      <w:r w:rsidRPr="00395876">
        <w:rPr>
          <w:rFonts w:ascii="Palatino Linotype" w:eastAsia="Garamond" w:hAnsi="Palatino Linotype" w:cs="Garamond"/>
          <w:sz w:val="22"/>
          <w:szCs w:val="22"/>
          <w:lang w:val="en-ID"/>
        </w:rPr>
        <w:t>Table 2 records variation in students’ independent learning. S1, S3, S7, and S9 described reading before seeking assistance, while S7, S9, and S10 reported attempting tasks independently. S4 and S6 described waiting for t</w:t>
      </w:r>
      <w:r w:rsidR="00650B5D">
        <w:rPr>
          <w:rFonts w:ascii="Palatino Linotype" w:eastAsia="Garamond" w:hAnsi="Palatino Linotype" w:cs="Garamond"/>
          <w:sz w:val="22"/>
          <w:szCs w:val="22"/>
          <w:lang w:val="en-ID"/>
        </w:rPr>
        <w:t>he teacher's</w:t>
      </w:r>
      <w:r w:rsidRPr="00395876">
        <w:rPr>
          <w:rFonts w:ascii="Palatino Linotype" w:eastAsia="Garamond" w:hAnsi="Palatino Linotype" w:cs="Garamond"/>
          <w:sz w:val="22"/>
          <w:szCs w:val="22"/>
          <w:lang w:val="en-ID"/>
        </w:rPr>
        <w:t xml:space="preserve"> explanations, and S4 expressed limited confidence in answering </w:t>
      </w:r>
      <w:r w:rsidR="00650B5D">
        <w:rPr>
          <w:rFonts w:ascii="Palatino Linotype" w:eastAsia="Garamond" w:hAnsi="Palatino Linotype" w:cs="Garamond"/>
          <w:sz w:val="22"/>
          <w:szCs w:val="22"/>
          <w:lang w:val="en-ID"/>
        </w:rPr>
        <w:t xml:space="preserve">questions </w:t>
      </w:r>
      <w:r w:rsidRPr="00395876">
        <w:rPr>
          <w:rFonts w:ascii="Palatino Linotype" w:eastAsia="Garamond" w:hAnsi="Palatino Linotype" w:cs="Garamond"/>
          <w:sz w:val="22"/>
          <w:szCs w:val="22"/>
          <w:lang w:val="en-ID"/>
        </w:rPr>
        <w:t>alone. Observations similarly recorded students who began activities promptly</w:t>
      </w:r>
      <w:r w:rsidR="00650B5D">
        <w:rPr>
          <w:rFonts w:ascii="Palatino Linotype" w:eastAsia="Garamond" w:hAnsi="Palatino Linotype" w:cs="Garamond"/>
          <w:sz w:val="22"/>
          <w:szCs w:val="22"/>
          <w:lang w:val="en-ID"/>
        </w:rPr>
        <w:t xml:space="preserve"> </w:t>
      </w:r>
      <w:r w:rsidR="006E7464">
        <w:rPr>
          <w:rFonts w:ascii="Palatino Linotype" w:eastAsia="Garamond" w:hAnsi="Palatino Linotype" w:cs="Garamond"/>
          <w:sz w:val="22"/>
          <w:szCs w:val="22"/>
          <w:lang w:val="en-ID"/>
        </w:rPr>
        <w:t>and</w:t>
      </w:r>
      <w:r w:rsidRPr="00395876">
        <w:rPr>
          <w:rFonts w:ascii="Palatino Linotype" w:eastAsia="Garamond" w:hAnsi="Palatino Linotype" w:cs="Garamond"/>
          <w:sz w:val="22"/>
          <w:szCs w:val="22"/>
          <w:lang w:val="en-ID"/>
        </w:rPr>
        <w:t xml:space="preserve"> those who required instructions, reminders, or encouragement. Seeking assistance sometimes occurred after students had attempted to resolve the task themselves, as reported by S6 and S10</w:t>
      </w:r>
      <w:r w:rsidR="008C1CF1">
        <w:rPr>
          <w:rFonts w:ascii="Palatino Linotype" w:eastAsia="Garamond" w:hAnsi="Palatino Linotype" w:cs="Garamond"/>
          <w:sz w:val="22"/>
          <w:szCs w:val="22"/>
          <w:lang w:val="en-ID"/>
        </w:rPr>
        <w:t>.</w:t>
      </w:r>
    </w:p>
    <w:p w14:paraId="53349BD9" w14:textId="4F9AD062" w:rsidR="00395876" w:rsidRPr="00395876" w:rsidRDefault="00395876" w:rsidP="008C1CF1">
      <w:pPr>
        <w:spacing w:line="360" w:lineRule="auto"/>
        <w:contextualSpacing/>
        <w:jc w:val="both"/>
        <w:rPr>
          <w:rFonts w:ascii="Palatino Linotype" w:eastAsia="Garamond" w:hAnsi="Palatino Linotype" w:cs="Garamond"/>
          <w:b/>
          <w:bCs/>
          <w:sz w:val="22"/>
          <w:szCs w:val="22"/>
          <w:lang w:val="en-ID"/>
        </w:rPr>
      </w:pPr>
      <w:r w:rsidRPr="00395876">
        <w:rPr>
          <w:rFonts w:ascii="Palatino Linotype" w:eastAsia="Garamond" w:hAnsi="Palatino Linotype" w:cs="Garamond"/>
          <w:b/>
          <w:bCs/>
          <w:sz w:val="22"/>
          <w:szCs w:val="22"/>
          <w:lang w:val="en-ID"/>
        </w:rPr>
        <w:t>Supporting and Inhibiting Factors</w:t>
      </w:r>
    </w:p>
    <w:p w14:paraId="13FFCF3E" w14:textId="17AE8FE8" w:rsidR="00280888" w:rsidRPr="00AD0A28" w:rsidRDefault="00395876" w:rsidP="008C1CF1">
      <w:pPr>
        <w:spacing w:line="360" w:lineRule="auto"/>
        <w:ind w:firstLine="720"/>
        <w:contextualSpacing/>
        <w:jc w:val="both"/>
        <w:rPr>
          <w:rFonts w:ascii="Palatino Linotype" w:eastAsia="Garamond" w:hAnsi="Palatino Linotype" w:cs="Garamond"/>
          <w:sz w:val="22"/>
          <w:szCs w:val="22"/>
          <w:lang w:val="en-ID"/>
        </w:rPr>
      </w:pPr>
      <w:r w:rsidRPr="00395876">
        <w:rPr>
          <w:rFonts w:ascii="Palatino Linotype" w:eastAsia="Garamond" w:hAnsi="Palatino Linotype" w:cs="Garamond"/>
          <w:sz w:val="22"/>
          <w:szCs w:val="22"/>
          <w:lang w:val="en-ID"/>
        </w:rPr>
        <w:t>The interviews identified conditions that supported worksheet use and difficulties encountered during learning activities. G1 described the availability and clarity of worksheets, teacher guidance, and classroom conditions. Student accounts provided additional evidence concerning confidence and reliance on explanations. These factors are summarized in Table 3.</w:t>
      </w:r>
    </w:p>
    <w:p w14:paraId="07CDE017" w14:textId="4A21F6A4" w:rsidR="00395876" w:rsidRPr="00395876" w:rsidRDefault="00395876" w:rsidP="008C1CF1">
      <w:pPr>
        <w:spacing w:line="360" w:lineRule="auto"/>
        <w:contextualSpacing/>
        <w:jc w:val="center"/>
        <w:rPr>
          <w:rFonts w:ascii="Palatino Linotype" w:eastAsia="Garamond" w:hAnsi="Palatino Linotype" w:cs="Garamond"/>
          <w:sz w:val="22"/>
          <w:szCs w:val="22"/>
          <w:lang w:val="en-ID"/>
        </w:rPr>
      </w:pPr>
      <w:r w:rsidRPr="00395876">
        <w:rPr>
          <w:rFonts w:ascii="Palatino Linotype" w:eastAsia="Garamond" w:hAnsi="Palatino Linotype" w:cs="Garamond"/>
          <w:b/>
          <w:bCs/>
          <w:sz w:val="22"/>
          <w:szCs w:val="22"/>
          <w:lang w:val="en-ID"/>
        </w:rPr>
        <w:t xml:space="preserve">Table 3. </w:t>
      </w:r>
      <w:r w:rsidRPr="008C1CF1">
        <w:rPr>
          <w:rFonts w:ascii="Palatino Linotype" w:eastAsia="Garamond" w:hAnsi="Palatino Linotype" w:cs="Garamond"/>
          <w:sz w:val="22"/>
          <w:szCs w:val="22"/>
          <w:lang w:val="en-ID"/>
        </w:rPr>
        <w:t>Supporting and Inhibiting Factors Reported by Participants</w:t>
      </w:r>
    </w:p>
    <w:tbl>
      <w:tblPr>
        <w:tblStyle w:val="PlainTable2"/>
        <w:tblW w:w="9639" w:type="dxa"/>
        <w:tblLook w:val="04A0" w:firstRow="1" w:lastRow="0" w:firstColumn="1" w:lastColumn="0" w:noHBand="0" w:noVBand="1"/>
      </w:tblPr>
      <w:tblGrid>
        <w:gridCol w:w="664"/>
        <w:gridCol w:w="1334"/>
        <w:gridCol w:w="2101"/>
        <w:gridCol w:w="5540"/>
      </w:tblGrid>
      <w:tr w:rsidR="008C1CF1" w:rsidRPr="008C1CF1" w14:paraId="16989B42" w14:textId="77777777" w:rsidTr="008C1C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4" w:type="dxa"/>
          </w:tcPr>
          <w:p w14:paraId="71C0333A" w14:textId="183DD947" w:rsidR="008C1CF1" w:rsidRPr="008C1CF1" w:rsidRDefault="008C1CF1" w:rsidP="00280888">
            <w:pPr>
              <w:spacing w:line="240" w:lineRule="auto"/>
              <w:jc w:val="center"/>
              <w:rPr>
                <w:rFonts w:ascii="Palatino Linotype" w:eastAsia="Garamond" w:hAnsi="Palatino Linotype" w:cs="Garamond"/>
                <w:sz w:val="22"/>
                <w:szCs w:val="22"/>
                <w:lang w:val="en-ID"/>
              </w:rPr>
            </w:pPr>
            <w:r w:rsidRPr="008C1CF1">
              <w:rPr>
                <w:rFonts w:ascii="Palatino Linotype" w:eastAsia="Garamond" w:hAnsi="Palatino Linotype" w:cs="Garamond"/>
                <w:sz w:val="22"/>
                <w:szCs w:val="22"/>
                <w:lang w:val="en-ID"/>
              </w:rPr>
              <w:t>No</w:t>
            </w:r>
          </w:p>
        </w:tc>
        <w:tc>
          <w:tcPr>
            <w:tcW w:w="1334" w:type="dxa"/>
            <w:hideMark/>
          </w:tcPr>
          <w:p w14:paraId="001A7E7E" w14:textId="68892E40" w:rsidR="008C1CF1" w:rsidRPr="008C1CF1" w:rsidRDefault="008C1CF1" w:rsidP="00280888">
            <w:pPr>
              <w:spacing w:line="240" w:lineRule="auto"/>
              <w:jc w:val="center"/>
              <w:cnfStyle w:val="100000000000" w:firstRow="1" w:lastRow="0" w:firstColumn="0" w:lastColumn="0" w:oddVBand="0" w:evenVBand="0" w:oddHBand="0" w:evenHBand="0" w:firstRowFirstColumn="0" w:firstRowLastColumn="0" w:lastRowFirstColumn="0" w:lastRowLastColumn="0"/>
              <w:rPr>
                <w:rFonts w:ascii="Palatino Linotype" w:eastAsia="Garamond" w:hAnsi="Palatino Linotype" w:cs="Garamond"/>
                <w:sz w:val="22"/>
                <w:szCs w:val="22"/>
                <w:lang w:val="en-ID"/>
              </w:rPr>
            </w:pPr>
            <w:r w:rsidRPr="008C1CF1">
              <w:rPr>
                <w:rFonts w:ascii="Palatino Linotype" w:eastAsia="Garamond" w:hAnsi="Palatino Linotype" w:cs="Garamond"/>
                <w:sz w:val="22"/>
                <w:szCs w:val="22"/>
                <w:lang w:val="en-ID"/>
              </w:rPr>
              <w:t>Category</w:t>
            </w:r>
          </w:p>
        </w:tc>
        <w:tc>
          <w:tcPr>
            <w:tcW w:w="2101" w:type="dxa"/>
            <w:hideMark/>
          </w:tcPr>
          <w:p w14:paraId="13735ABA" w14:textId="77777777" w:rsidR="008C1CF1" w:rsidRPr="008C1CF1" w:rsidRDefault="008C1CF1" w:rsidP="00280888">
            <w:pPr>
              <w:spacing w:line="240" w:lineRule="auto"/>
              <w:jc w:val="center"/>
              <w:cnfStyle w:val="100000000000" w:firstRow="1" w:lastRow="0" w:firstColumn="0" w:lastColumn="0" w:oddVBand="0" w:evenVBand="0" w:oddHBand="0" w:evenHBand="0" w:firstRowFirstColumn="0" w:firstRowLastColumn="0" w:lastRowFirstColumn="0" w:lastRowLastColumn="0"/>
              <w:rPr>
                <w:rFonts w:ascii="Palatino Linotype" w:eastAsia="Garamond" w:hAnsi="Palatino Linotype" w:cs="Garamond"/>
                <w:sz w:val="22"/>
                <w:szCs w:val="22"/>
                <w:lang w:val="en-ID"/>
              </w:rPr>
            </w:pPr>
            <w:r w:rsidRPr="008C1CF1">
              <w:rPr>
                <w:rFonts w:ascii="Palatino Linotype" w:eastAsia="Garamond" w:hAnsi="Palatino Linotype" w:cs="Garamond"/>
                <w:sz w:val="22"/>
                <w:szCs w:val="22"/>
                <w:lang w:val="en-ID"/>
              </w:rPr>
              <w:t>Factor</w:t>
            </w:r>
          </w:p>
        </w:tc>
        <w:tc>
          <w:tcPr>
            <w:tcW w:w="5540" w:type="dxa"/>
            <w:hideMark/>
          </w:tcPr>
          <w:p w14:paraId="4B6C58D4" w14:textId="77777777" w:rsidR="008C1CF1" w:rsidRPr="008C1CF1" w:rsidRDefault="008C1CF1" w:rsidP="00280888">
            <w:pPr>
              <w:spacing w:line="240" w:lineRule="auto"/>
              <w:jc w:val="center"/>
              <w:cnfStyle w:val="100000000000" w:firstRow="1" w:lastRow="0" w:firstColumn="0" w:lastColumn="0" w:oddVBand="0" w:evenVBand="0" w:oddHBand="0" w:evenHBand="0" w:firstRowFirstColumn="0" w:firstRowLastColumn="0" w:lastRowFirstColumn="0" w:lastRowLastColumn="0"/>
              <w:rPr>
                <w:rFonts w:ascii="Palatino Linotype" w:eastAsia="Garamond" w:hAnsi="Palatino Linotype" w:cs="Garamond"/>
                <w:sz w:val="22"/>
                <w:szCs w:val="22"/>
                <w:lang w:val="en-ID"/>
              </w:rPr>
            </w:pPr>
            <w:r w:rsidRPr="008C1CF1">
              <w:rPr>
                <w:rFonts w:ascii="Palatino Linotype" w:eastAsia="Garamond" w:hAnsi="Palatino Linotype" w:cs="Garamond"/>
                <w:sz w:val="22"/>
                <w:szCs w:val="22"/>
                <w:lang w:val="en-ID"/>
              </w:rPr>
              <w:t>Reported data</w:t>
            </w:r>
          </w:p>
        </w:tc>
      </w:tr>
      <w:tr w:rsidR="008C1CF1" w:rsidRPr="00395876" w14:paraId="2EB8F558" w14:textId="77777777" w:rsidTr="008C1C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4" w:type="dxa"/>
          </w:tcPr>
          <w:p w14:paraId="68473B38" w14:textId="17C53EDB" w:rsidR="008C1CF1" w:rsidRPr="00395876" w:rsidRDefault="008C1CF1" w:rsidP="008C1CF1">
            <w:pPr>
              <w:spacing w:line="240" w:lineRule="auto"/>
              <w:jc w:val="center"/>
              <w:rPr>
                <w:rFonts w:ascii="Palatino Linotype" w:eastAsia="Garamond" w:hAnsi="Palatino Linotype" w:cs="Garamond"/>
                <w:sz w:val="22"/>
                <w:szCs w:val="22"/>
                <w:lang w:val="en-ID"/>
              </w:rPr>
            </w:pPr>
            <w:r>
              <w:rPr>
                <w:rFonts w:ascii="Palatino Linotype" w:eastAsia="Garamond" w:hAnsi="Palatino Linotype" w:cs="Garamond"/>
                <w:sz w:val="22"/>
                <w:szCs w:val="22"/>
                <w:lang w:val="en-ID"/>
              </w:rPr>
              <w:t>1</w:t>
            </w:r>
          </w:p>
        </w:tc>
        <w:tc>
          <w:tcPr>
            <w:tcW w:w="1334" w:type="dxa"/>
            <w:hideMark/>
          </w:tcPr>
          <w:p w14:paraId="778901A6" w14:textId="757A1A13" w:rsidR="008C1CF1" w:rsidRPr="00395876" w:rsidRDefault="008C1CF1" w:rsidP="008C1CF1">
            <w:pPr>
              <w:spacing w:line="240" w:lineRule="auto"/>
              <w:jc w:val="both"/>
              <w:cnfStyle w:val="000000100000" w:firstRow="0" w:lastRow="0" w:firstColumn="0" w:lastColumn="0" w:oddVBand="0" w:evenVBand="0" w:oddHBand="1" w:evenHBand="0" w:firstRowFirstColumn="0" w:firstRowLastColumn="0" w:lastRowFirstColumn="0" w:lastRowLastColumn="0"/>
              <w:rPr>
                <w:rFonts w:ascii="Palatino Linotype" w:eastAsia="Garamond" w:hAnsi="Palatino Linotype" w:cs="Garamond"/>
                <w:sz w:val="22"/>
                <w:szCs w:val="22"/>
                <w:lang w:val="en-ID"/>
              </w:rPr>
            </w:pPr>
            <w:r w:rsidRPr="00395876">
              <w:rPr>
                <w:rFonts w:ascii="Palatino Linotype" w:eastAsia="Garamond" w:hAnsi="Palatino Linotype" w:cs="Garamond"/>
                <w:sz w:val="22"/>
                <w:szCs w:val="22"/>
                <w:lang w:val="en-ID"/>
              </w:rPr>
              <w:t>Supporting</w:t>
            </w:r>
          </w:p>
        </w:tc>
        <w:tc>
          <w:tcPr>
            <w:tcW w:w="2101" w:type="dxa"/>
            <w:hideMark/>
          </w:tcPr>
          <w:p w14:paraId="5E1132DE" w14:textId="77777777" w:rsidR="008C1CF1" w:rsidRPr="00395876" w:rsidRDefault="008C1CF1" w:rsidP="008C1CF1">
            <w:pPr>
              <w:spacing w:line="240" w:lineRule="auto"/>
              <w:jc w:val="both"/>
              <w:cnfStyle w:val="000000100000" w:firstRow="0" w:lastRow="0" w:firstColumn="0" w:lastColumn="0" w:oddVBand="0" w:evenVBand="0" w:oddHBand="1" w:evenHBand="0" w:firstRowFirstColumn="0" w:firstRowLastColumn="0" w:lastRowFirstColumn="0" w:lastRowLastColumn="0"/>
              <w:rPr>
                <w:rFonts w:ascii="Palatino Linotype" w:eastAsia="Garamond" w:hAnsi="Palatino Linotype" w:cs="Garamond"/>
                <w:sz w:val="22"/>
                <w:szCs w:val="22"/>
                <w:lang w:val="en-ID"/>
              </w:rPr>
            </w:pPr>
            <w:r w:rsidRPr="00395876">
              <w:rPr>
                <w:rFonts w:ascii="Palatino Linotype" w:eastAsia="Garamond" w:hAnsi="Palatino Linotype" w:cs="Garamond"/>
                <w:sz w:val="22"/>
                <w:szCs w:val="22"/>
                <w:lang w:val="en-ID"/>
              </w:rPr>
              <w:t>Worksheet availability</w:t>
            </w:r>
          </w:p>
        </w:tc>
        <w:tc>
          <w:tcPr>
            <w:tcW w:w="5540" w:type="dxa"/>
            <w:hideMark/>
          </w:tcPr>
          <w:p w14:paraId="54D94856" w14:textId="53E0BEB7" w:rsidR="008C1CF1" w:rsidRPr="00395876" w:rsidRDefault="008C1CF1" w:rsidP="008C1CF1">
            <w:pPr>
              <w:spacing w:line="240" w:lineRule="auto"/>
              <w:jc w:val="both"/>
              <w:cnfStyle w:val="000000100000" w:firstRow="0" w:lastRow="0" w:firstColumn="0" w:lastColumn="0" w:oddVBand="0" w:evenVBand="0" w:oddHBand="1" w:evenHBand="0" w:firstRowFirstColumn="0" w:firstRowLastColumn="0" w:lastRowFirstColumn="0" w:lastRowLastColumn="0"/>
              <w:rPr>
                <w:rFonts w:ascii="Palatino Linotype" w:eastAsia="Garamond" w:hAnsi="Palatino Linotype" w:cs="Garamond"/>
                <w:sz w:val="22"/>
                <w:szCs w:val="22"/>
                <w:lang w:val="en-ID"/>
              </w:rPr>
            </w:pPr>
            <w:r w:rsidRPr="00395876">
              <w:rPr>
                <w:rFonts w:ascii="Palatino Linotype" w:eastAsia="Garamond" w:hAnsi="Palatino Linotype" w:cs="Garamond"/>
                <w:sz w:val="22"/>
                <w:szCs w:val="22"/>
                <w:lang w:val="en-ID"/>
              </w:rPr>
              <w:t>G1 reported sufficient availability of</w:t>
            </w:r>
            <w:r>
              <w:rPr>
                <w:rFonts w:ascii="Palatino Linotype" w:eastAsia="Garamond" w:hAnsi="Palatino Linotype" w:cs="Garamond"/>
                <w:sz w:val="22"/>
                <w:szCs w:val="22"/>
                <w:lang w:val="en-ID"/>
              </w:rPr>
              <w:t xml:space="preserve"> student worksheet</w:t>
            </w:r>
            <w:r w:rsidRPr="00395876">
              <w:rPr>
                <w:rFonts w:ascii="Palatino Linotype" w:eastAsia="Garamond" w:hAnsi="Palatino Linotype" w:cs="Garamond"/>
                <w:sz w:val="22"/>
                <w:szCs w:val="22"/>
                <w:lang w:val="en-ID"/>
              </w:rPr>
              <w:t>.</w:t>
            </w:r>
          </w:p>
        </w:tc>
      </w:tr>
      <w:tr w:rsidR="008C1CF1" w:rsidRPr="00395876" w14:paraId="6CE956E9" w14:textId="77777777" w:rsidTr="008C1CF1">
        <w:tc>
          <w:tcPr>
            <w:cnfStyle w:val="001000000000" w:firstRow="0" w:lastRow="0" w:firstColumn="1" w:lastColumn="0" w:oddVBand="0" w:evenVBand="0" w:oddHBand="0" w:evenHBand="0" w:firstRowFirstColumn="0" w:firstRowLastColumn="0" w:lastRowFirstColumn="0" w:lastRowLastColumn="0"/>
            <w:tcW w:w="664" w:type="dxa"/>
          </w:tcPr>
          <w:p w14:paraId="1619A320" w14:textId="050904AB" w:rsidR="008C1CF1" w:rsidRPr="00395876" w:rsidRDefault="008C1CF1" w:rsidP="008C1CF1">
            <w:pPr>
              <w:spacing w:line="240" w:lineRule="auto"/>
              <w:jc w:val="center"/>
              <w:rPr>
                <w:rFonts w:ascii="Palatino Linotype" w:eastAsia="Garamond" w:hAnsi="Palatino Linotype" w:cs="Garamond"/>
                <w:sz w:val="22"/>
                <w:szCs w:val="22"/>
                <w:lang w:val="en-ID"/>
              </w:rPr>
            </w:pPr>
            <w:r>
              <w:rPr>
                <w:rFonts w:ascii="Palatino Linotype" w:eastAsia="Garamond" w:hAnsi="Palatino Linotype" w:cs="Garamond"/>
                <w:sz w:val="22"/>
                <w:szCs w:val="22"/>
                <w:lang w:val="en-ID"/>
              </w:rPr>
              <w:t>2</w:t>
            </w:r>
          </w:p>
        </w:tc>
        <w:tc>
          <w:tcPr>
            <w:tcW w:w="1334" w:type="dxa"/>
            <w:hideMark/>
          </w:tcPr>
          <w:p w14:paraId="08A8EC3E" w14:textId="0FB7B7FA" w:rsidR="008C1CF1" w:rsidRPr="00395876" w:rsidRDefault="008C1CF1" w:rsidP="008C1CF1">
            <w:pPr>
              <w:spacing w:line="240" w:lineRule="auto"/>
              <w:jc w:val="both"/>
              <w:cnfStyle w:val="000000000000" w:firstRow="0" w:lastRow="0" w:firstColumn="0" w:lastColumn="0" w:oddVBand="0" w:evenVBand="0" w:oddHBand="0" w:evenHBand="0" w:firstRowFirstColumn="0" w:firstRowLastColumn="0" w:lastRowFirstColumn="0" w:lastRowLastColumn="0"/>
              <w:rPr>
                <w:rFonts w:ascii="Palatino Linotype" w:eastAsia="Garamond" w:hAnsi="Palatino Linotype" w:cs="Garamond"/>
                <w:sz w:val="22"/>
                <w:szCs w:val="22"/>
                <w:lang w:val="en-ID"/>
              </w:rPr>
            </w:pPr>
            <w:r w:rsidRPr="00395876">
              <w:rPr>
                <w:rFonts w:ascii="Palatino Linotype" w:eastAsia="Garamond" w:hAnsi="Palatino Linotype" w:cs="Garamond"/>
                <w:sz w:val="22"/>
                <w:szCs w:val="22"/>
                <w:lang w:val="en-ID"/>
              </w:rPr>
              <w:t>Supporting</w:t>
            </w:r>
          </w:p>
        </w:tc>
        <w:tc>
          <w:tcPr>
            <w:tcW w:w="2101" w:type="dxa"/>
            <w:hideMark/>
          </w:tcPr>
          <w:p w14:paraId="537BADA3" w14:textId="77777777" w:rsidR="008C1CF1" w:rsidRPr="00395876" w:rsidRDefault="008C1CF1" w:rsidP="008C1CF1">
            <w:pPr>
              <w:spacing w:line="240" w:lineRule="auto"/>
              <w:jc w:val="both"/>
              <w:cnfStyle w:val="000000000000" w:firstRow="0" w:lastRow="0" w:firstColumn="0" w:lastColumn="0" w:oddVBand="0" w:evenVBand="0" w:oddHBand="0" w:evenHBand="0" w:firstRowFirstColumn="0" w:firstRowLastColumn="0" w:lastRowFirstColumn="0" w:lastRowLastColumn="0"/>
              <w:rPr>
                <w:rFonts w:ascii="Palatino Linotype" w:eastAsia="Garamond" w:hAnsi="Palatino Linotype" w:cs="Garamond"/>
                <w:sz w:val="22"/>
                <w:szCs w:val="22"/>
                <w:lang w:val="en-ID"/>
              </w:rPr>
            </w:pPr>
            <w:r w:rsidRPr="00395876">
              <w:rPr>
                <w:rFonts w:ascii="Palatino Linotype" w:eastAsia="Garamond" w:hAnsi="Palatino Linotype" w:cs="Garamond"/>
                <w:sz w:val="22"/>
                <w:szCs w:val="22"/>
                <w:lang w:val="en-ID"/>
              </w:rPr>
              <w:t>Understandable content and instructions</w:t>
            </w:r>
          </w:p>
        </w:tc>
        <w:tc>
          <w:tcPr>
            <w:tcW w:w="5540" w:type="dxa"/>
            <w:hideMark/>
          </w:tcPr>
          <w:p w14:paraId="4AC11903" w14:textId="77777777" w:rsidR="008C1CF1" w:rsidRPr="00395876" w:rsidRDefault="008C1CF1" w:rsidP="008C1CF1">
            <w:pPr>
              <w:spacing w:line="240" w:lineRule="auto"/>
              <w:jc w:val="both"/>
              <w:cnfStyle w:val="000000000000" w:firstRow="0" w:lastRow="0" w:firstColumn="0" w:lastColumn="0" w:oddVBand="0" w:evenVBand="0" w:oddHBand="0" w:evenHBand="0" w:firstRowFirstColumn="0" w:firstRowLastColumn="0" w:lastRowFirstColumn="0" w:lastRowLastColumn="0"/>
              <w:rPr>
                <w:rFonts w:ascii="Palatino Linotype" w:eastAsia="Garamond" w:hAnsi="Palatino Linotype" w:cs="Garamond"/>
                <w:sz w:val="22"/>
                <w:szCs w:val="22"/>
                <w:lang w:val="en-ID"/>
              </w:rPr>
            </w:pPr>
            <w:r w:rsidRPr="00395876">
              <w:rPr>
                <w:rFonts w:ascii="Palatino Linotype" w:eastAsia="Garamond" w:hAnsi="Palatino Linotype" w:cs="Garamond"/>
                <w:sz w:val="22"/>
                <w:szCs w:val="22"/>
                <w:lang w:val="en-ID"/>
              </w:rPr>
              <w:t>G1 identified easy-to-understand material and instructions as supporting worksheet use.</w:t>
            </w:r>
          </w:p>
        </w:tc>
      </w:tr>
      <w:tr w:rsidR="008C1CF1" w:rsidRPr="00395876" w14:paraId="15EEC2A7" w14:textId="77777777" w:rsidTr="008C1C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4" w:type="dxa"/>
          </w:tcPr>
          <w:p w14:paraId="70BA72B7" w14:textId="4604D4EF" w:rsidR="008C1CF1" w:rsidRPr="00395876" w:rsidRDefault="008C1CF1" w:rsidP="008C1CF1">
            <w:pPr>
              <w:spacing w:line="240" w:lineRule="auto"/>
              <w:jc w:val="center"/>
              <w:rPr>
                <w:rFonts w:ascii="Palatino Linotype" w:eastAsia="Garamond" w:hAnsi="Palatino Linotype" w:cs="Garamond"/>
                <w:sz w:val="22"/>
                <w:szCs w:val="22"/>
                <w:lang w:val="en-ID"/>
              </w:rPr>
            </w:pPr>
            <w:r>
              <w:rPr>
                <w:rFonts w:ascii="Palatino Linotype" w:eastAsia="Garamond" w:hAnsi="Palatino Linotype" w:cs="Garamond"/>
                <w:sz w:val="22"/>
                <w:szCs w:val="22"/>
                <w:lang w:val="en-ID"/>
              </w:rPr>
              <w:t>3</w:t>
            </w:r>
          </w:p>
        </w:tc>
        <w:tc>
          <w:tcPr>
            <w:tcW w:w="1334" w:type="dxa"/>
            <w:hideMark/>
          </w:tcPr>
          <w:p w14:paraId="4EB82C25" w14:textId="7093CA07" w:rsidR="008C1CF1" w:rsidRPr="00395876" w:rsidRDefault="008C1CF1" w:rsidP="008C1CF1">
            <w:pPr>
              <w:spacing w:line="240" w:lineRule="auto"/>
              <w:jc w:val="both"/>
              <w:cnfStyle w:val="000000100000" w:firstRow="0" w:lastRow="0" w:firstColumn="0" w:lastColumn="0" w:oddVBand="0" w:evenVBand="0" w:oddHBand="1" w:evenHBand="0" w:firstRowFirstColumn="0" w:firstRowLastColumn="0" w:lastRowFirstColumn="0" w:lastRowLastColumn="0"/>
              <w:rPr>
                <w:rFonts w:ascii="Palatino Linotype" w:eastAsia="Garamond" w:hAnsi="Palatino Linotype" w:cs="Garamond"/>
                <w:sz w:val="22"/>
                <w:szCs w:val="22"/>
                <w:lang w:val="en-ID"/>
              </w:rPr>
            </w:pPr>
            <w:r w:rsidRPr="00395876">
              <w:rPr>
                <w:rFonts w:ascii="Palatino Linotype" w:eastAsia="Garamond" w:hAnsi="Palatino Linotype" w:cs="Garamond"/>
                <w:sz w:val="22"/>
                <w:szCs w:val="22"/>
                <w:lang w:val="en-ID"/>
              </w:rPr>
              <w:t>Supporting</w:t>
            </w:r>
          </w:p>
        </w:tc>
        <w:tc>
          <w:tcPr>
            <w:tcW w:w="2101" w:type="dxa"/>
            <w:hideMark/>
          </w:tcPr>
          <w:p w14:paraId="0A8258E4" w14:textId="77777777" w:rsidR="008C1CF1" w:rsidRPr="00395876" w:rsidRDefault="008C1CF1" w:rsidP="008C1CF1">
            <w:pPr>
              <w:spacing w:line="240" w:lineRule="auto"/>
              <w:jc w:val="both"/>
              <w:cnfStyle w:val="000000100000" w:firstRow="0" w:lastRow="0" w:firstColumn="0" w:lastColumn="0" w:oddVBand="0" w:evenVBand="0" w:oddHBand="1" w:evenHBand="0" w:firstRowFirstColumn="0" w:firstRowLastColumn="0" w:lastRowFirstColumn="0" w:lastRowLastColumn="0"/>
              <w:rPr>
                <w:rFonts w:ascii="Palatino Linotype" w:eastAsia="Garamond" w:hAnsi="Palatino Linotype" w:cs="Garamond"/>
                <w:sz w:val="22"/>
                <w:szCs w:val="22"/>
                <w:lang w:val="en-ID"/>
              </w:rPr>
            </w:pPr>
            <w:r w:rsidRPr="00395876">
              <w:rPr>
                <w:rFonts w:ascii="Palatino Linotype" w:eastAsia="Garamond" w:hAnsi="Palatino Linotype" w:cs="Garamond"/>
                <w:sz w:val="22"/>
                <w:szCs w:val="22"/>
                <w:lang w:val="en-ID"/>
              </w:rPr>
              <w:t>Teacher guidance</w:t>
            </w:r>
          </w:p>
        </w:tc>
        <w:tc>
          <w:tcPr>
            <w:tcW w:w="5540" w:type="dxa"/>
            <w:hideMark/>
          </w:tcPr>
          <w:p w14:paraId="4598E750" w14:textId="77777777" w:rsidR="008C1CF1" w:rsidRPr="00395876" w:rsidRDefault="008C1CF1" w:rsidP="008C1CF1">
            <w:pPr>
              <w:spacing w:line="240" w:lineRule="auto"/>
              <w:jc w:val="both"/>
              <w:cnfStyle w:val="000000100000" w:firstRow="0" w:lastRow="0" w:firstColumn="0" w:lastColumn="0" w:oddVBand="0" w:evenVBand="0" w:oddHBand="1" w:evenHBand="0" w:firstRowFirstColumn="0" w:firstRowLastColumn="0" w:lastRowFirstColumn="0" w:lastRowLastColumn="0"/>
              <w:rPr>
                <w:rFonts w:ascii="Palatino Linotype" w:eastAsia="Garamond" w:hAnsi="Palatino Linotype" w:cs="Garamond"/>
                <w:sz w:val="22"/>
                <w:szCs w:val="22"/>
                <w:lang w:val="en-ID"/>
              </w:rPr>
            </w:pPr>
            <w:r w:rsidRPr="00395876">
              <w:rPr>
                <w:rFonts w:ascii="Palatino Linotype" w:eastAsia="Garamond" w:hAnsi="Palatino Linotype" w:cs="Garamond"/>
                <w:sz w:val="22"/>
                <w:szCs w:val="22"/>
                <w:lang w:val="en-ID"/>
              </w:rPr>
              <w:t>G1 provided prompts and guiding questions when students encountered difficulties.</w:t>
            </w:r>
          </w:p>
        </w:tc>
      </w:tr>
      <w:tr w:rsidR="008C1CF1" w:rsidRPr="00395876" w14:paraId="32ECF6FB" w14:textId="77777777" w:rsidTr="008C1CF1">
        <w:tc>
          <w:tcPr>
            <w:cnfStyle w:val="001000000000" w:firstRow="0" w:lastRow="0" w:firstColumn="1" w:lastColumn="0" w:oddVBand="0" w:evenVBand="0" w:oddHBand="0" w:evenHBand="0" w:firstRowFirstColumn="0" w:firstRowLastColumn="0" w:lastRowFirstColumn="0" w:lastRowLastColumn="0"/>
            <w:tcW w:w="664" w:type="dxa"/>
          </w:tcPr>
          <w:p w14:paraId="2C0D701F" w14:textId="4269B33C" w:rsidR="008C1CF1" w:rsidRPr="00395876" w:rsidRDefault="008C1CF1" w:rsidP="008C1CF1">
            <w:pPr>
              <w:spacing w:line="240" w:lineRule="auto"/>
              <w:jc w:val="center"/>
              <w:rPr>
                <w:rFonts w:ascii="Palatino Linotype" w:eastAsia="Garamond" w:hAnsi="Palatino Linotype" w:cs="Garamond"/>
                <w:sz w:val="22"/>
                <w:szCs w:val="22"/>
                <w:lang w:val="en-ID"/>
              </w:rPr>
            </w:pPr>
            <w:r>
              <w:rPr>
                <w:rFonts w:ascii="Palatino Linotype" w:eastAsia="Garamond" w:hAnsi="Palatino Linotype" w:cs="Garamond"/>
                <w:sz w:val="22"/>
                <w:szCs w:val="22"/>
                <w:lang w:val="en-ID"/>
              </w:rPr>
              <w:t>4</w:t>
            </w:r>
          </w:p>
        </w:tc>
        <w:tc>
          <w:tcPr>
            <w:tcW w:w="1334" w:type="dxa"/>
            <w:hideMark/>
          </w:tcPr>
          <w:p w14:paraId="03AE4B4D" w14:textId="3BCFC034" w:rsidR="008C1CF1" w:rsidRPr="00395876" w:rsidRDefault="008C1CF1" w:rsidP="008C1CF1">
            <w:pPr>
              <w:spacing w:line="240" w:lineRule="auto"/>
              <w:jc w:val="both"/>
              <w:cnfStyle w:val="000000000000" w:firstRow="0" w:lastRow="0" w:firstColumn="0" w:lastColumn="0" w:oddVBand="0" w:evenVBand="0" w:oddHBand="0" w:evenHBand="0" w:firstRowFirstColumn="0" w:firstRowLastColumn="0" w:lastRowFirstColumn="0" w:lastRowLastColumn="0"/>
              <w:rPr>
                <w:rFonts w:ascii="Palatino Linotype" w:eastAsia="Garamond" w:hAnsi="Palatino Linotype" w:cs="Garamond"/>
                <w:sz w:val="22"/>
                <w:szCs w:val="22"/>
                <w:lang w:val="en-ID"/>
              </w:rPr>
            </w:pPr>
            <w:r w:rsidRPr="00395876">
              <w:rPr>
                <w:rFonts w:ascii="Palatino Linotype" w:eastAsia="Garamond" w:hAnsi="Palatino Linotype" w:cs="Garamond"/>
                <w:sz w:val="22"/>
                <w:szCs w:val="22"/>
                <w:lang w:val="en-ID"/>
              </w:rPr>
              <w:t>Supporting</w:t>
            </w:r>
          </w:p>
        </w:tc>
        <w:tc>
          <w:tcPr>
            <w:tcW w:w="2101" w:type="dxa"/>
            <w:hideMark/>
          </w:tcPr>
          <w:p w14:paraId="508B7927" w14:textId="77777777" w:rsidR="008C1CF1" w:rsidRPr="00395876" w:rsidRDefault="008C1CF1" w:rsidP="008C1CF1">
            <w:pPr>
              <w:spacing w:line="240" w:lineRule="auto"/>
              <w:jc w:val="both"/>
              <w:cnfStyle w:val="000000000000" w:firstRow="0" w:lastRow="0" w:firstColumn="0" w:lastColumn="0" w:oddVBand="0" w:evenVBand="0" w:oddHBand="0" w:evenHBand="0" w:firstRowFirstColumn="0" w:firstRowLastColumn="0" w:lastRowFirstColumn="0" w:lastRowLastColumn="0"/>
              <w:rPr>
                <w:rFonts w:ascii="Palatino Linotype" w:eastAsia="Garamond" w:hAnsi="Palatino Linotype" w:cs="Garamond"/>
                <w:sz w:val="22"/>
                <w:szCs w:val="22"/>
                <w:lang w:val="en-ID"/>
              </w:rPr>
            </w:pPr>
            <w:r w:rsidRPr="00395876">
              <w:rPr>
                <w:rFonts w:ascii="Palatino Linotype" w:eastAsia="Garamond" w:hAnsi="Palatino Linotype" w:cs="Garamond"/>
                <w:sz w:val="22"/>
                <w:szCs w:val="22"/>
                <w:lang w:val="en-ID"/>
              </w:rPr>
              <w:t>Willingness to learn</w:t>
            </w:r>
          </w:p>
        </w:tc>
        <w:tc>
          <w:tcPr>
            <w:tcW w:w="5540" w:type="dxa"/>
            <w:hideMark/>
          </w:tcPr>
          <w:p w14:paraId="11B39F25" w14:textId="77777777" w:rsidR="008C1CF1" w:rsidRPr="00395876" w:rsidRDefault="008C1CF1" w:rsidP="008C1CF1">
            <w:pPr>
              <w:spacing w:line="240" w:lineRule="auto"/>
              <w:jc w:val="both"/>
              <w:cnfStyle w:val="000000000000" w:firstRow="0" w:lastRow="0" w:firstColumn="0" w:lastColumn="0" w:oddVBand="0" w:evenVBand="0" w:oddHBand="0" w:evenHBand="0" w:firstRowFirstColumn="0" w:firstRowLastColumn="0" w:lastRowFirstColumn="0" w:lastRowLastColumn="0"/>
              <w:rPr>
                <w:rFonts w:ascii="Palatino Linotype" w:eastAsia="Garamond" w:hAnsi="Palatino Linotype" w:cs="Garamond"/>
                <w:sz w:val="22"/>
                <w:szCs w:val="22"/>
                <w:lang w:val="en-ID"/>
              </w:rPr>
            </w:pPr>
            <w:r w:rsidRPr="00395876">
              <w:rPr>
                <w:rFonts w:ascii="Palatino Linotype" w:eastAsia="Garamond" w:hAnsi="Palatino Linotype" w:cs="Garamond"/>
                <w:sz w:val="22"/>
                <w:szCs w:val="22"/>
                <w:lang w:val="en-ID"/>
              </w:rPr>
              <w:t>G1 identified students’ willingness to learn as a supporting factor.</w:t>
            </w:r>
          </w:p>
        </w:tc>
      </w:tr>
      <w:tr w:rsidR="008C1CF1" w:rsidRPr="00395876" w14:paraId="02BD98AF" w14:textId="77777777" w:rsidTr="008C1C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4" w:type="dxa"/>
          </w:tcPr>
          <w:p w14:paraId="180A9215" w14:textId="6C0DD98A" w:rsidR="008C1CF1" w:rsidRPr="00395876" w:rsidRDefault="008C1CF1" w:rsidP="008C1CF1">
            <w:pPr>
              <w:spacing w:line="240" w:lineRule="auto"/>
              <w:jc w:val="center"/>
              <w:rPr>
                <w:rFonts w:ascii="Palatino Linotype" w:eastAsia="Garamond" w:hAnsi="Palatino Linotype" w:cs="Garamond"/>
                <w:sz w:val="22"/>
                <w:szCs w:val="22"/>
                <w:lang w:val="en-ID"/>
              </w:rPr>
            </w:pPr>
            <w:r>
              <w:rPr>
                <w:rFonts w:ascii="Palatino Linotype" w:eastAsia="Garamond" w:hAnsi="Palatino Linotype" w:cs="Garamond"/>
                <w:sz w:val="22"/>
                <w:szCs w:val="22"/>
                <w:lang w:val="en-ID"/>
              </w:rPr>
              <w:t>5</w:t>
            </w:r>
          </w:p>
        </w:tc>
        <w:tc>
          <w:tcPr>
            <w:tcW w:w="1334" w:type="dxa"/>
            <w:hideMark/>
          </w:tcPr>
          <w:p w14:paraId="47CBB8ED" w14:textId="1A9317F3" w:rsidR="008C1CF1" w:rsidRPr="00395876" w:rsidRDefault="008C1CF1" w:rsidP="008C1CF1">
            <w:pPr>
              <w:spacing w:line="240" w:lineRule="auto"/>
              <w:jc w:val="both"/>
              <w:cnfStyle w:val="000000100000" w:firstRow="0" w:lastRow="0" w:firstColumn="0" w:lastColumn="0" w:oddVBand="0" w:evenVBand="0" w:oddHBand="1" w:evenHBand="0" w:firstRowFirstColumn="0" w:firstRowLastColumn="0" w:lastRowFirstColumn="0" w:lastRowLastColumn="0"/>
              <w:rPr>
                <w:rFonts w:ascii="Palatino Linotype" w:eastAsia="Garamond" w:hAnsi="Palatino Linotype" w:cs="Garamond"/>
                <w:sz w:val="22"/>
                <w:szCs w:val="22"/>
                <w:lang w:val="en-ID"/>
              </w:rPr>
            </w:pPr>
            <w:r w:rsidRPr="00395876">
              <w:rPr>
                <w:rFonts w:ascii="Palatino Linotype" w:eastAsia="Garamond" w:hAnsi="Palatino Linotype" w:cs="Garamond"/>
                <w:sz w:val="22"/>
                <w:szCs w:val="22"/>
                <w:lang w:val="en-ID"/>
              </w:rPr>
              <w:t>Supporting</w:t>
            </w:r>
          </w:p>
        </w:tc>
        <w:tc>
          <w:tcPr>
            <w:tcW w:w="2101" w:type="dxa"/>
            <w:hideMark/>
          </w:tcPr>
          <w:p w14:paraId="6D822959" w14:textId="77777777" w:rsidR="008C1CF1" w:rsidRPr="00395876" w:rsidRDefault="008C1CF1" w:rsidP="008C1CF1">
            <w:pPr>
              <w:spacing w:line="240" w:lineRule="auto"/>
              <w:jc w:val="both"/>
              <w:cnfStyle w:val="000000100000" w:firstRow="0" w:lastRow="0" w:firstColumn="0" w:lastColumn="0" w:oddVBand="0" w:evenVBand="0" w:oddHBand="1" w:evenHBand="0" w:firstRowFirstColumn="0" w:firstRowLastColumn="0" w:lastRowFirstColumn="0" w:lastRowLastColumn="0"/>
              <w:rPr>
                <w:rFonts w:ascii="Palatino Linotype" w:eastAsia="Garamond" w:hAnsi="Palatino Linotype" w:cs="Garamond"/>
                <w:sz w:val="22"/>
                <w:szCs w:val="22"/>
                <w:lang w:val="en-ID"/>
              </w:rPr>
            </w:pPr>
            <w:r w:rsidRPr="00395876">
              <w:rPr>
                <w:rFonts w:ascii="Palatino Linotype" w:eastAsia="Garamond" w:hAnsi="Palatino Linotype" w:cs="Garamond"/>
                <w:sz w:val="22"/>
                <w:szCs w:val="22"/>
                <w:lang w:val="en-ID"/>
              </w:rPr>
              <w:t>Classroom atmosphere</w:t>
            </w:r>
          </w:p>
        </w:tc>
        <w:tc>
          <w:tcPr>
            <w:tcW w:w="5540" w:type="dxa"/>
            <w:hideMark/>
          </w:tcPr>
          <w:p w14:paraId="35791F96" w14:textId="77777777" w:rsidR="008C1CF1" w:rsidRPr="00395876" w:rsidRDefault="008C1CF1" w:rsidP="008C1CF1">
            <w:pPr>
              <w:spacing w:line="240" w:lineRule="auto"/>
              <w:jc w:val="both"/>
              <w:cnfStyle w:val="000000100000" w:firstRow="0" w:lastRow="0" w:firstColumn="0" w:lastColumn="0" w:oddVBand="0" w:evenVBand="0" w:oddHBand="1" w:evenHBand="0" w:firstRowFirstColumn="0" w:firstRowLastColumn="0" w:lastRowFirstColumn="0" w:lastRowLastColumn="0"/>
              <w:rPr>
                <w:rFonts w:ascii="Palatino Linotype" w:eastAsia="Garamond" w:hAnsi="Palatino Linotype" w:cs="Garamond"/>
                <w:sz w:val="22"/>
                <w:szCs w:val="22"/>
                <w:lang w:val="en-ID"/>
              </w:rPr>
            </w:pPr>
            <w:r w:rsidRPr="00395876">
              <w:rPr>
                <w:rFonts w:ascii="Palatino Linotype" w:eastAsia="Garamond" w:hAnsi="Palatino Linotype" w:cs="Garamond"/>
                <w:sz w:val="22"/>
                <w:szCs w:val="22"/>
                <w:lang w:val="en-ID"/>
              </w:rPr>
              <w:t>G1 identified a conducive classroom atmosphere as a supporting factor.</w:t>
            </w:r>
          </w:p>
        </w:tc>
      </w:tr>
      <w:tr w:rsidR="008C1CF1" w:rsidRPr="00395876" w14:paraId="2CE1AB08" w14:textId="77777777" w:rsidTr="008C1CF1">
        <w:tc>
          <w:tcPr>
            <w:cnfStyle w:val="001000000000" w:firstRow="0" w:lastRow="0" w:firstColumn="1" w:lastColumn="0" w:oddVBand="0" w:evenVBand="0" w:oddHBand="0" w:evenHBand="0" w:firstRowFirstColumn="0" w:firstRowLastColumn="0" w:lastRowFirstColumn="0" w:lastRowLastColumn="0"/>
            <w:tcW w:w="664" w:type="dxa"/>
          </w:tcPr>
          <w:p w14:paraId="672AA873" w14:textId="6A5F6DAE" w:rsidR="008C1CF1" w:rsidRPr="00395876" w:rsidRDefault="008C1CF1" w:rsidP="008C1CF1">
            <w:pPr>
              <w:spacing w:line="240" w:lineRule="auto"/>
              <w:jc w:val="center"/>
              <w:rPr>
                <w:rFonts w:ascii="Palatino Linotype" w:eastAsia="Garamond" w:hAnsi="Palatino Linotype" w:cs="Garamond"/>
                <w:sz w:val="22"/>
                <w:szCs w:val="22"/>
                <w:lang w:val="en-ID"/>
              </w:rPr>
            </w:pPr>
            <w:r>
              <w:rPr>
                <w:rFonts w:ascii="Palatino Linotype" w:eastAsia="Garamond" w:hAnsi="Palatino Linotype" w:cs="Garamond"/>
                <w:sz w:val="22"/>
                <w:szCs w:val="22"/>
                <w:lang w:val="en-ID"/>
              </w:rPr>
              <w:t>6</w:t>
            </w:r>
          </w:p>
        </w:tc>
        <w:tc>
          <w:tcPr>
            <w:tcW w:w="1334" w:type="dxa"/>
            <w:hideMark/>
          </w:tcPr>
          <w:p w14:paraId="3E972739" w14:textId="6892EA12" w:rsidR="008C1CF1" w:rsidRPr="00395876" w:rsidRDefault="008C1CF1" w:rsidP="008C1CF1">
            <w:pPr>
              <w:spacing w:line="240" w:lineRule="auto"/>
              <w:jc w:val="both"/>
              <w:cnfStyle w:val="000000000000" w:firstRow="0" w:lastRow="0" w:firstColumn="0" w:lastColumn="0" w:oddVBand="0" w:evenVBand="0" w:oddHBand="0" w:evenHBand="0" w:firstRowFirstColumn="0" w:firstRowLastColumn="0" w:lastRowFirstColumn="0" w:lastRowLastColumn="0"/>
              <w:rPr>
                <w:rFonts w:ascii="Palatino Linotype" w:eastAsia="Garamond" w:hAnsi="Palatino Linotype" w:cs="Garamond"/>
                <w:sz w:val="22"/>
                <w:szCs w:val="22"/>
                <w:lang w:val="en-ID"/>
              </w:rPr>
            </w:pPr>
            <w:r w:rsidRPr="00395876">
              <w:rPr>
                <w:rFonts w:ascii="Palatino Linotype" w:eastAsia="Garamond" w:hAnsi="Palatino Linotype" w:cs="Garamond"/>
                <w:sz w:val="22"/>
                <w:szCs w:val="22"/>
                <w:lang w:val="en-ID"/>
              </w:rPr>
              <w:t>Inhibiting</w:t>
            </w:r>
          </w:p>
        </w:tc>
        <w:tc>
          <w:tcPr>
            <w:tcW w:w="2101" w:type="dxa"/>
            <w:hideMark/>
          </w:tcPr>
          <w:p w14:paraId="47C891A5" w14:textId="36B55B4F" w:rsidR="008C1CF1" w:rsidRPr="00395876" w:rsidRDefault="008C1CF1" w:rsidP="008C1CF1">
            <w:pPr>
              <w:spacing w:line="240" w:lineRule="auto"/>
              <w:jc w:val="both"/>
              <w:cnfStyle w:val="000000000000" w:firstRow="0" w:lastRow="0" w:firstColumn="0" w:lastColumn="0" w:oddVBand="0" w:evenVBand="0" w:oddHBand="0" w:evenHBand="0" w:firstRowFirstColumn="0" w:firstRowLastColumn="0" w:lastRowFirstColumn="0" w:lastRowLastColumn="0"/>
              <w:rPr>
                <w:rFonts w:ascii="Palatino Linotype" w:eastAsia="Garamond" w:hAnsi="Palatino Linotype" w:cs="Garamond"/>
                <w:sz w:val="22"/>
                <w:szCs w:val="22"/>
                <w:lang w:val="en-ID"/>
              </w:rPr>
            </w:pPr>
            <w:r w:rsidRPr="00395876">
              <w:rPr>
                <w:rFonts w:ascii="Palatino Linotype" w:eastAsia="Garamond" w:hAnsi="Palatino Linotype" w:cs="Garamond"/>
                <w:sz w:val="22"/>
                <w:szCs w:val="22"/>
                <w:lang w:val="en-ID"/>
              </w:rPr>
              <w:t>Differences</w:t>
            </w:r>
            <w:r>
              <w:rPr>
                <w:rFonts w:ascii="Palatino Linotype" w:eastAsia="Garamond" w:hAnsi="Palatino Linotype" w:cs="Garamond"/>
                <w:sz w:val="22"/>
                <w:szCs w:val="22"/>
                <w:lang w:val="en-ID"/>
              </w:rPr>
              <w:t xml:space="preserve"> </w:t>
            </w:r>
            <w:r w:rsidRPr="00395876">
              <w:rPr>
                <w:rFonts w:ascii="Palatino Linotype" w:eastAsia="Garamond" w:hAnsi="Palatino Linotype" w:cs="Garamond"/>
                <w:sz w:val="22"/>
                <w:szCs w:val="22"/>
                <w:lang w:val="en-ID"/>
              </w:rPr>
              <w:t>in understanding</w:t>
            </w:r>
          </w:p>
        </w:tc>
        <w:tc>
          <w:tcPr>
            <w:tcW w:w="5540" w:type="dxa"/>
            <w:hideMark/>
          </w:tcPr>
          <w:p w14:paraId="748852E9" w14:textId="77777777" w:rsidR="008C1CF1" w:rsidRPr="00395876" w:rsidRDefault="008C1CF1" w:rsidP="008C1CF1">
            <w:pPr>
              <w:spacing w:line="240" w:lineRule="auto"/>
              <w:jc w:val="both"/>
              <w:cnfStyle w:val="000000000000" w:firstRow="0" w:lastRow="0" w:firstColumn="0" w:lastColumn="0" w:oddVBand="0" w:evenVBand="0" w:oddHBand="0" w:evenHBand="0" w:firstRowFirstColumn="0" w:firstRowLastColumn="0" w:lastRowFirstColumn="0" w:lastRowLastColumn="0"/>
              <w:rPr>
                <w:rFonts w:ascii="Palatino Linotype" w:eastAsia="Garamond" w:hAnsi="Palatino Linotype" w:cs="Garamond"/>
                <w:sz w:val="22"/>
                <w:szCs w:val="22"/>
                <w:lang w:val="en-ID"/>
              </w:rPr>
            </w:pPr>
            <w:r w:rsidRPr="00395876">
              <w:rPr>
                <w:rFonts w:ascii="Palatino Linotype" w:eastAsia="Garamond" w:hAnsi="Palatino Linotype" w:cs="Garamond"/>
                <w:sz w:val="22"/>
                <w:szCs w:val="22"/>
                <w:lang w:val="en-ID"/>
              </w:rPr>
              <w:t>G1 reported that some students understood the material quickly, while others required additional explanations.</w:t>
            </w:r>
          </w:p>
        </w:tc>
      </w:tr>
      <w:tr w:rsidR="008C1CF1" w:rsidRPr="00395876" w14:paraId="0FAE0D99" w14:textId="77777777" w:rsidTr="008C1C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4" w:type="dxa"/>
          </w:tcPr>
          <w:p w14:paraId="4872E5FC" w14:textId="69FF9149" w:rsidR="008C1CF1" w:rsidRPr="00395876" w:rsidRDefault="008C1CF1" w:rsidP="008C1CF1">
            <w:pPr>
              <w:spacing w:line="240" w:lineRule="auto"/>
              <w:jc w:val="center"/>
              <w:rPr>
                <w:rFonts w:ascii="Palatino Linotype" w:eastAsia="Garamond" w:hAnsi="Palatino Linotype" w:cs="Garamond"/>
                <w:sz w:val="22"/>
                <w:szCs w:val="22"/>
                <w:lang w:val="en-ID"/>
              </w:rPr>
            </w:pPr>
            <w:r>
              <w:rPr>
                <w:rFonts w:ascii="Palatino Linotype" w:eastAsia="Garamond" w:hAnsi="Palatino Linotype" w:cs="Garamond"/>
                <w:sz w:val="22"/>
                <w:szCs w:val="22"/>
                <w:lang w:val="en-ID"/>
              </w:rPr>
              <w:t>7</w:t>
            </w:r>
          </w:p>
        </w:tc>
        <w:tc>
          <w:tcPr>
            <w:tcW w:w="1334" w:type="dxa"/>
            <w:hideMark/>
          </w:tcPr>
          <w:p w14:paraId="686B2B72" w14:textId="6A8D43E7" w:rsidR="008C1CF1" w:rsidRPr="00395876" w:rsidRDefault="008C1CF1" w:rsidP="008C1CF1">
            <w:pPr>
              <w:spacing w:line="240" w:lineRule="auto"/>
              <w:jc w:val="both"/>
              <w:cnfStyle w:val="000000100000" w:firstRow="0" w:lastRow="0" w:firstColumn="0" w:lastColumn="0" w:oddVBand="0" w:evenVBand="0" w:oddHBand="1" w:evenHBand="0" w:firstRowFirstColumn="0" w:firstRowLastColumn="0" w:lastRowFirstColumn="0" w:lastRowLastColumn="0"/>
              <w:rPr>
                <w:rFonts w:ascii="Palatino Linotype" w:eastAsia="Garamond" w:hAnsi="Palatino Linotype" w:cs="Garamond"/>
                <w:sz w:val="22"/>
                <w:szCs w:val="22"/>
                <w:lang w:val="en-ID"/>
              </w:rPr>
            </w:pPr>
            <w:r w:rsidRPr="00395876">
              <w:rPr>
                <w:rFonts w:ascii="Palatino Linotype" w:eastAsia="Garamond" w:hAnsi="Palatino Linotype" w:cs="Garamond"/>
                <w:sz w:val="22"/>
                <w:szCs w:val="22"/>
                <w:lang w:val="en-ID"/>
              </w:rPr>
              <w:t>Inhibiting</w:t>
            </w:r>
          </w:p>
        </w:tc>
        <w:tc>
          <w:tcPr>
            <w:tcW w:w="2101" w:type="dxa"/>
            <w:hideMark/>
          </w:tcPr>
          <w:p w14:paraId="726E9093" w14:textId="77777777" w:rsidR="008C1CF1" w:rsidRPr="00395876" w:rsidRDefault="008C1CF1" w:rsidP="008C1CF1">
            <w:pPr>
              <w:spacing w:line="240" w:lineRule="auto"/>
              <w:jc w:val="both"/>
              <w:cnfStyle w:val="000000100000" w:firstRow="0" w:lastRow="0" w:firstColumn="0" w:lastColumn="0" w:oddVBand="0" w:evenVBand="0" w:oddHBand="1" w:evenHBand="0" w:firstRowFirstColumn="0" w:firstRowLastColumn="0" w:lastRowFirstColumn="0" w:lastRowLastColumn="0"/>
              <w:rPr>
                <w:rFonts w:ascii="Palatino Linotype" w:eastAsia="Garamond" w:hAnsi="Palatino Linotype" w:cs="Garamond"/>
                <w:sz w:val="22"/>
                <w:szCs w:val="22"/>
                <w:lang w:val="en-ID"/>
              </w:rPr>
            </w:pPr>
            <w:r w:rsidRPr="00395876">
              <w:rPr>
                <w:rFonts w:ascii="Palatino Linotype" w:eastAsia="Garamond" w:hAnsi="Palatino Linotype" w:cs="Garamond"/>
                <w:sz w:val="22"/>
                <w:szCs w:val="22"/>
                <w:lang w:val="en-ID"/>
              </w:rPr>
              <w:t>Limited confidence</w:t>
            </w:r>
          </w:p>
        </w:tc>
        <w:tc>
          <w:tcPr>
            <w:tcW w:w="5540" w:type="dxa"/>
            <w:hideMark/>
          </w:tcPr>
          <w:p w14:paraId="16AD4147" w14:textId="77777777" w:rsidR="008C1CF1" w:rsidRPr="00395876" w:rsidRDefault="008C1CF1" w:rsidP="008C1CF1">
            <w:pPr>
              <w:spacing w:line="240" w:lineRule="auto"/>
              <w:jc w:val="both"/>
              <w:cnfStyle w:val="000000100000" w:firstRow="0" w:lastRow="0" w:firstColumn="0" w:lastColumn="0" w:oddVBand="0" w:evenVBand="0" w:oddHBand="1" w:evenHBand="0" w:firstRowFirstColumn="0" w:firstRowLastColumn="0" w:lastRowFirstColumn="0" w:lastRowLastColumn="0"/>
              <w:rPr>
                <w:rFonts w:ascii="Palatino Linotype" w:eastAsia="Garamond" w:hAnsi="Palatino Linotype" w:cs="Garamond"/>
                <w:sz w:val="22"/>
                <w:szCs w:val="22"/>
                <w:lang w:val="en-ID"/>
              </w:rPr>
            </w:pPr>
            <w:r w:rsidRPr="00395876">
              <w:rPr>
                <w:rFonts w:ascii="Palatino Linotype" w:eastAsia="Garamond" w:hAnsi="Palatino Linotype" w:cs="Garamond"/>
                <w:sz w:val="22"/>
                <w:szCs w:val="22"/>
                <w:lang w:val="en-ID"/>
              </w:rPr>
              <w:t>S4 reported uncertainty when answering independently; G1 also described students who lacked confidence.</w:t>
            </w:r>
          </w:p>
        </w:tc>
      </w:tr>
      <w:tr w:rsidR="008C1CF1" w:rsidRPr="00395876" w14:paraId="4E1CD8C0" w14:textId="77777777" w:rsidTr="008C1CF1">
        <w:tc>
          <w:tcPr>
            <w:cnfStyle w:val="001000000000" w:firstRow="0" w:lastRow="0" w:firstColumn="1" w:lastColumn="0" w:oddVBand="0" w:evenVBand="0" w:oddHBand="0" w:evenHBand="0" w:firstRowFirstColumn="0" w:firstRowLastColumn="0" w:lastRowFirstColumn="0" w:lastRowLastColumn="0"/>
            <w:tcW w:w="664" w:type="dxa"/>
          </w:tcPr>
          <w:p w14:paraId="10A0574E" w14:textId="0C759F00" w:rsidR="008C1CF1" w:rsidRPr="00395876" w:rsidRDefault="008C1CF1" w:rsidP="008C1CF1">
            <w:pPr>
              <w:spacing w:line="240" w:lineRule="auto"/>
              <w:jc w:val="center"/>
              <w:rPr>
                <w:rFonts w:ascii="Palatino Linotype" w:eastAsia="Garamond" w:hAnsi="Palatino Linotype" w:cs="Garamond"/>
                <w:sz w:val="22"/>
                <w:szCs w:val="22"/>
                <w:lang w:val="en-ID"/>
              </w:rPr>
            </w:pPr>
            <w:r>
              <w:rPr>
                <w:rFonts w:ascii="Palatino Linotype" w:eastAsia="Garamond" w:hAnsi="Palatino Linotype" w:cs="Garamond"/>
                <w:sz w:val="22"/>
                <w:szCs w:val="22"/>
                <w:lang w:val="en-ID"/>
              </w:rPr>
              <w:t>8</w:t>
            </w:r>
          </w:p>
        </w:tc>
        <w:tc>
          <w:tcPr>
            <w:tcW w:w="1334" w:type="dxa"/>
            <w:hideMark/>
          </w:tcPr>
          <w:p w14:paraId="234C6107" w14:textId="7AEDD20E" w:rsidR="008C1CF1" w:rsidRPr="00395876" w:rsidRDefault="008C1CF1" w:rsidP="008C1CF1">
            <w:pPr>
              <w:spacing w:line="240" w:lineRule="auto"/>
              <w:jc w:val="both"/>
              <w:cnfStyle w:val="000000000000" w:firstRow="0" w:lastRow="0" w:firstColumn="0" w:lastColumn="0" w:oddVBand="0" w:evenVBand="0" w:oddHBand="0" w:evenHBand="0" w:firstRowFirstColumn="0" w:firstRowLastColumn="0" w:lastRowFirstColumn="0" w:lastRowLastColumn="0"/>
              <w:rPr>
                <w:rFonts w:ascii="Palatino Linotype" w:eastAsia="Garamond" w:hAnsi="Palatino Linotype" w:cs="Garamond"/>
                <w:sz w:val="22"/>
                <w:szCs w:val="22"/>
                <w:lang w:val="en-ID"/>
              </w:rPr>
            </w:pPr>
            <w:r w:rsidRPr="00395876">
              <w:rPr>
                <w:rFonts w:ascii="Palatino Linotype" w:eastAsia="Garamond" w:hAnsi="Palatino Linotype" w:cs="Garamond"/>
                <w:sz w:val="22"/>
                <w:szCs w:val="22"/>
                <w:lang w:val="en-ID"/>
              </w:rPr>
              <w:t>Inhibiting</w:t>
            </w:r>
          </w:p>
        </w:tc>
        <w:tc>
          <w:tcPr>
            <w:tcW w:w="2101" w:type="dxa"/>
            <w:hideMark/>
          </w:tcPr>
          <w:p w14:paraId="44331718" w14:textId="77777777" w:rsidR="008C1CF1" w:rsidRPr="00395876" w:rsidRDefault="008C1CF1" w:rsidP="008C1CF1">
            <w:pPr>
              <w:spacing w:line="240" w:lineRule="auto"/>
              <w:jc w:val="both"/>
              <w:cnfStyle w:val="000000000000" w:firstRow="0" w:lastRow="0" w:firstColumn="0" w:lastColumn="0" w:oddVBand="0" w:evenVBand="0" w:oddHBand="0" w:evenHBand="0" w:firstRowFirstColumn="0" w:firstRowLastColumn="0" w:lastRowFirstColumn="0" w:lastRowLastColumn="0"/>
              <w:rPr>
                <w:rFonts w:ascii="Palatino Linotype" w:eastAsia="Garamond" w:hAnsi="Palatino Linotype" w:cs="Garamond"/>
                <w:sz w:val="22"/>
                <w:szCs w:val="22"/>
                <w:lang w:val="en-ID"/>
              </w:rPr>
            </w:pPr>
            <w:r w:rsidRPr="00395876">
              <w:rPr>
                <w:rFonts w:ascii="Palatino Linotype" w:eastAsia="Garamond" w:hAnsi="Palatino Linotype" w:cs="Garamond"/>
                <w:sz w:val="22"/>
                <w:szCs w:val="22"/>
                <w:lang w:val="en-ID"/>
              </w:rPr>
              <w:t>Waiting for instructions</w:t>
            </w:r>
          </w:p>
        </w:tc>
        <w:tc>
          <w:tcPr>
            <w:tcW w:w="5540" w:type="dxa"/>
            <w:hideMark/>
          </w:tcPr>
          <w:p w14:paraId="7709CD7B" w14:textId="77777777" w:rsidR="008C1CF1" w:rsidRPr="00395876" w:rsidRDefault="008C1CF1" w:rsidP="008C1CF1">
            <w:pPr>
              <w:spacing w:line="240" w:lineRule="auto"/>
              <w:jc w:val="both"/>
              <w:cnfStyle w:val="000000000000" w:firstRow="0" w:lastRow="0" w:firstColumn="0" w:lastColumn="0" w:oddVBand="0" w:evenVBand="0" w:oddHBand="0" w:evenHBand="0" w:firstRowFirstColumn="0" w:firstRowLastColumn="0" w:lastRowFirstColumn="0" w:lastRowLastColumn="0"/>
              <w:rPr>
                <w:rFonts w:ascii="Palatino Linotype" w:eastAsia="Garamond" w:hAnsi="Palatino Linotype" w:cs="Garamond"/>
                <w:sz w:val="22"/>
                <w:szCs w:val="22"/>
                <w:lang w:val="en-ID"/>
              </w:rPr>
            </w:pPr>
            <w:r w:rsidRPr="00395876">
              <w:rPr>
                <w:rFonts w:ascii="Palatino Linotype" w:eastAsia="Garamond" w:hAnsi="Palatino Linotype" w:cs="Garamond"/>
                <w:sz w:val="22"/>
                <w:szCs w:val="22"/>
                <w:lang w:val="en-ID"/>
              </w:rPr>
              <w:t>G1, S4, S6, and S10 described waiting for teacher instructions or explanations.</w:t>
            </w:r>
          </w:p>
        </w:tc>
      </w:tr>
      <w:tr w:rsidR="008C1CF1" w:rsidRPr="00395876" w14:paraId="057C53C4" w14:textId="77777777" w:rsidTr="008C1C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4" w:type="dxa"/>
          </w:tcPr>
          <w:p w14:paraId="6746D556" w14:textId="176171AF" w:rsidR="008C1CF1" w:rsidRPr="00395876" w:rsidRDefault="008C1CF1" w:rsidP="008C1CF1">
            <w:pPr>
              <w:spacing w:line="240" w:lineRule="auto"/>
              <w:jc w:val="center"/>
              <w:rPr>
                <w:rFonts w:ascii="Palatino Linotype" w:eastAsia="Garamond" w:hAnsi="Palatino Linotype" w:cs="Garamond"/>
                <w:sz w:val="22"/>
                <w:szCs w:val="22"/>
                <w:lang w:val="en-ID"/>
              </w:rPr>
            </w:pPr>
            <w:r>
              <w:rPr>
                <w:rFonts w:ascii="Palatino Linotype" w:eastAsia="Garamond" w:hAnsi="Palatino Linotype" w:cs="Garamond"/>
                <w:sz w:val="22"/>
                <w:szCs w:val="22"/>
                <w:lang w:val="en-ID"/>
              </w:rPr>
              <w:t>9</w:t>
            </w:r>
          </w:p>
        </w:tc>
        <w:tc>
          <w:tcPr>
            <w:tcW w:w="1334" w:type="dxa"/>
            <w:hideMark/>
          </w:tcPr>
          <w:p w14:paraId="43B41B56" w14:textId="7241F452" w:rsidR="008C1CF1" w:rsidRPr="00395876" w:rsidRDefault="008C1CF1" w:rsidP="008C1CF1">
            <w:pPr>
              <w:spacing w:line="240" w:lineRule="auto"/>
              <w:jc w:val="both"/>
              <w:cnfStyle w:val="000000100000" w:firstRow="0" w:lastRow="0" w:firstColumn="0" w:lastColumn="0" w:oddVBand="0" w:evenVBand="0" w:oddHBand="1" w:evenHBand="0" w:firstRowFirstColumn="0" w:firstRowLastColumn="0" w:lastRowFirstColumn="0" w:lastRowLastColumn="0"/>
              <w:rPr>
                <w:rFonts w:ascii="Palatino Linotype" w:eastAsia="Garamond" w:hAnsi="Palatino Linotype" w:cs="Garamond"/>
                <w:sz w:val="22"/>
                <w:szCs w:val="22"/>
                <w:lang w:val="en-ID"/>
              </w:rPr>
            </w:pPr>
            <w:r w:rsidRPr="00395876">
              <w:rPr>
                <w:rFonts w:ascii="Palatino Linotype" w:eastAsia="Garamond" w:hAnsi="Palatino Linotype" w:cs="Garamond"/>
                <w:sz w:val="22"/>
                <w:szCs w:val="22"/>
                <w:lang w:val="en-ID"/>
              </w:rPr>
              <w:t>Inhibiting</w:t>
            </w:r>
          </w:p>
        </w:tc>
        <w:tc>
          <w:tcPr>
            <w:tcW w:w="2101" w:type="dxa"/>
            <w:hideMark/>
          </w:tcPr>
          <w:p w14:paraId="6F89870F" w14:textId="77777777" w:rsidR="008C1CF1" w:rsidRPr="00395876" w:rsidRDefault="008C1CF1" w:rsidP="008C1CF1">
            <w:pPr>
              <w:spacing w:line="240" w:lineRule="auto"/>
              <w:jc w:val="both"/>
              <w:cnfStyle w:val="000000100000" w:firstRow="0" w:lastRow="0" w:firstColumn="0" w:lastColumn="0" w:oddVBand="0" w:evenVBand="0" w:oddHBand="1" w:evenHBand="0" w:firstRowFirstColumn="0" w:firstRowLastColumn="0" w:lastRowFirstColumn="0" w:lastRowLastColumn="0"/>
              <w:rPr>
                <w:rFonts w:ascii="Palatino Linotype" w:eastAsia="Garamond" w:hAnsi="Palatino Linotype" w:cs="Garamond"/>
                <w:sz w:val="22"/>
                <w:szCs w:val="22"/>
                <w:lang w:val="en-ID"/>
              </w:rPr>
            </w:pPr>
            <w:r w:rsidRPr="00395876">
              <w:rPr>
                <w:rFonts w:ascii="Palatino Linotype" w:eastAsia="Garamond" w:hAnsi="Palatino Linotype" w:cs="Garamond"/>
                <w:sz w:val="22"/>
                <w:szCs w:val="22"/>
                <w:lang w:val="en-ID"/>
              </w:rPr>
              <w:t xml:space="preserve">Content–question </w:t>
            </w:r>
            <w:r w:rsidRPr="00395876">
              <w:rPr>
                <w:rFonts w:ascii="Palatino Linotype" w:eastAsia="Garamond" w:hAnsi="Palatino Linotype" w:cs="Garamond"/>
                <w:sz w:val="22"/>
                <w:szCs w:val="22"/>
                <w:lang w:val="en-ID"/>
              </w:rPr>
              <w:lastRenderedPageBreak/>
              <w:t>mismatch</w:t>
            </w:r>
          </w:p>
        </w:tc>
        <w:tc>
          <w:tcPr>
            <w:tcW w:w="5540" w:type="dxa"/>
            <w:hideMark/>
          </w:tcPr>
          <w:p w14:paraId="0A0F3BF8" w14:textId="77777777" w:rsidR="008C1CF1" w:rsidRPr="00395876" w:rsidRDefault="008C1CF1" w:rsidP="008C1CF1">
            <w:pPr>
              <w:spacing w:line="240" w:lineRule="auto"/>
              <w:jc w:val="both"/>
              <w:cnfStyle w:val="000000100000" w:firstRow="0" w:lastRow="0" w:firstColumn="0" w:lastColumn="0" w:oddVBand="0" w:evenVBand="0" w:oddHBand="1" w:evenHBand="0" w:firstRowFirstColumn="0" w:firstRowLastColumn="0" w:lastRowFirstColumn="0" w:lastRowLastColumn="0"/>
              <w:rPr>
                <w:rFonts w:ascii="Palatino Linotype" w:eastAsia="Garamond" w:hAnsi="Palatino Linotype" w:cs="Garamond"/>
                <w:sz w:val="22"/>
                <w:szCs w:val="22"/>
                <w:lang w:val="en-ID"/>
              </w:rPr>
            </w:pPr>
            <w:r w:rsidRPr="00395876">
              <w:rPr>
                <w:rFonts w:ascii="Palatino Linotype" w:eastAsia="Garamond" w:hAnsi="Palatino Linotype" w:cs="Garamond"/>
                <w:sz w:val="22"/>
                <w:szCs w:val="22"/>
                <w:lang w:val="en-ID"/>
              </w:rPr>
              <w:lastRenderedPageBreak/>
              <w:t xml:space="preserve">G1 reported that some questions did not sufficiently </w:t>
            </w:r>
            <w:r w:rsidRPr="00395876">
              <w:rPr>
                <w:rFonts w:ascii="Palatino Linotype" w:eastAsia="Garamond" w:hAnsi="Palatino Linotype" w:cs="Garamond"/>
                <w:sz w:val="22"/>
                <w:szCs w:val="22"/>
                <w:lang w:val="en-ID"/>
              </w:rPr>
              <w:lastRenderedPageBreak/>
              <w:t>correspond to the material and required additional explanation.</w:t>
            </w:r>
          </w:p>
        </w:tc>
      </w:tr>
    </w:tbl>
    <w:p w14:paraId="7488A3B8" w14:textId="77777777" w:rsidR="005522A6" w:rsidRPr="005522A6" w:rsidRDefault="005522A6" w:rsidP="00DC3585">
      <w:pPr>
        <w:spacing w:line="360" w:lineRule="auto"/>
        <w:ind w:firstLine="720"/>
        <w:jc w:val="right"/>
        <w:rPr>
          <w:rFonts w:ascii="Palatino Linotype" w:eastAsia="Garamond" w:hAnsi="Palatino Linotype" w:cs="Garamond"/>
          <w:sz w:val="22"/>
          <w:szCs w:val="22"/>
          <w:lang w:val="en-ID"/>
        </w:rPr>
      </w:pPr>
      <w:r w:rsidRPr="005522A6">
        <w:rPr>
          <w:rFonts w:ascii="Palatino Linotype" w:eastAsia="Garamond" w:hAnsi="Palatino Linotype" w:cs="Garamond"/>
          <w:sz w:val="22"/>
          <w:szCs w:val="22"/>
          <w:lang w:val="en-ID"/>
        </w:rPr>
        <w:lastRenderedPageBreak/>
        <w:t>Source: Data processed by researcher, 2026</w:t>
      </w:r>
    </w:p>
    <w:p w14:paraId="4C5C2451" w14:textId="77777777" w:rsidR="00DC3585" w:rsidRDefault="00DC3585" w:rsidP="0053004A">
      <w:pPr>
        <w:spacing w:line="360" w:lineRule="auto"/>
        <w:ind w:firstLine="720"/>
        <w:jc w:val="both"/>
        <w:rPr>
          <w:rFonts w:ascii="Palatino Linotype" w:eastAsia="Garamond" w:hAnsi="Palatino Linotype" w:cs="Garamond"/>
          <w:sz w:val="22"/>
          <w:szCs w:val="22"/>
          <w:lang w:val="en-ID"/>
        </w:rPr>
      </w:pPr>
    </w:p>
    <w:p w14:paraId="018D68BA" w14:textId="05EA24FA" w:rsidR="000B638B" w:rsidRPr="00DC3585" w:rsidRDefault="00395876" w:rsidP="00DC3585">
      <w:pPr>
        <w:spacing w:line="360" w:lineRule="auto"/>
        <w:ind w:firstLine="720"/>
        <w:contextualSpacing/>
        <w:jc w:val="both"/>
        <w:rPr>
          <w:rFonts w:ascii="Palatino Linotype" w:eastAsia="Garamond" w:hAnsi="Palatino Linotype" w:cs="Garamond"/>
          <w:sz w:val="22"/>
          <w:szCs w:val="22"/>
          <w:lang w:val="en-ID"/>
        </w:rPr>
      </w:pPr>
      <w:r w:rsidRPr="00395876">
        <w:rPr>
          <w:rFonts w:ascii="Palatino Linotype" w:eastAsia="Garamond" w:hAnsi="Palatino Linotype" w:cs="Garamond"/>
          <w:sz w:val="22"/>
          <w:szCs w:val="22"/>
          <w:lang w:val="en-ID"/>
        </w:rPr>
        <w:t xml:space="preserve">Table 3 identifies supporting conditions related to learning materials, teacher guidance, student willingness, and the classroom atmosphere. Reported difficulties concerned differences in understanding, limited confidence, and waiting for explanations. G1 also identified questions that required additional explanation because they did not clearly correspond to the worksheet material. These accounts describe the conditions under which students used </w:t>
      </w:r>
      <w:r w:rsidR="00B425DE">
        <w:rPr>
          <w:rFonts w:ascii="Palatino Linotype" w:eastAsia="Garamond" w:hAnsi="Palatino Linotype" w:cs="Garamond"/>
          <w:sz w:val="22"/>
          <w:szCs w:val="22"/>
          <w:lang w:val="en-ID"/>
        </w:rPr>
        <w:t>the student worksheet</w:t>
      </w:r>
      <w:r w:rsidRPr="00395876">
        <w:rPr>
          <w:rFonts w:ascii="Palatino Linotype" w:eastAsia="Garamond" w:hAnsi="Palatino Linotype" w:cs="Garamond"/>
          <w:sz w:val="22"/>
          <w:szCs w:val="22"/>
          <w:lang w:val="en-ID"/>
        </w:rPr>
        <w:t xml:space="preserve"> and encountered difficulties during worksheet activities.</w:t>
      </w:r>
    </w:p>
    <w:p w14:paraId="4097C421" w14:textId="452BA4BA" w:rsidR="000B638B" w:rsidRDefault="00AC7DD5" w:rsidP="000B638B">
      <w:pPr>
        <w:spacing w:line="360" w:lineRule="auto"/>
        <w:contextualSpacing/>
        <w:jc w:val="both"/>
        <w:rPr>
          <w:rFonts w:ascii="Palatino Linotype" w:hAnsi="Palatino Linotype"/>
          <w:b/>
          <w:sz w:val="22"/>
          <w:szCs w:val="22"/>
        </w:rPr>
      </w:pPr>
      <w:r>
        <w:rPr>
          <w:rFonts w:ascii="Palatino Linotype" w:hAnsi="Palatino Linotype"/>
          <w:b/>
          <w:sz w:val="22"/>
          <w:szCs w:val="22"/>
        </w:rPr>
        <w:t>Discussion</w:t>
      </w:r>
    </w:p>
    <w:p w14:paraId="21607709" w14:textId="54EA1E05" w:rsidR="00AD0A28" w:rsidRPr="00AD0A28" w:rsidRDefault="00AD0A28" w:rsidP="00AD0A28">
      <w:pPr>
        <w:spacing w:line="360" w:lineRule="auto"/>
        <w:contextualSpacing/>
        <w:jc w:val="both"/>
        <w:rPr>
          <w:rFonts w:ascii="Palatino Linotype" w:hAnsi="Palatino Linotype"/>
          <w:b/>
          <w:bCs/>
          <w:sz w:val="22"/>
          <w:szCs w:val="22"/>
          <w:lang w:val="en-ID"/>
        </w:rPr>
      </w:pPr>
      <w:r w:rsidRPr="00AD0A28">
        <w:rPr>
          <w:rFonts w:ascii="Palatino Linotype" w:hAnsi="Palatino Linotype"/>
          <w:b/>
          <w:bCs/>
          <w:sz w:val="22"/>
          <w:szCs w:val="22"/>
          <w:lang w:val="en-ID"/>
        </w:rPr>
        <w:t>Classroom Use of Student Worksheets</w:t>
      </w:r>
    </w:p>
    <w:p w14:paraId="43964EFA" w14:textId="3F596A2B" w:rsidR="007D57B4" w:rsidRDefault="00AD0A28" w:rsidP="00D46193">
      <w:pPr>
        <w:spacing w:line="360" w:lineRule="auto"/>
        <w:ind w:firstLine="720"/>
        <w:contextualSpacing/>
        <w:jc w:val="both"/>
        <w:rPr>
          <w:rFonts w:ascii="Palatino Linotype" w:hAnsi="Palatino Linotype"/>
          <w:bCs/>
          <w:sz w:val="22"/>
          <w:szCs w:val="22"/>
          <w:lang w:val="en-ID"/>
        </w:rPr>
      </w:pPr>
      <w:r w:rsidRPr="00AD0A28">
        <w:rPr>
          <w:rFonts w:ascii="Palatino Linotype" w:hAnsi="Palatino Linotype"/>
          <w:bCs/>
          <w:sz w:val="22"/>
          <w:szCs w:val="22"/>
          <w:lang w:val="en-ID"/>
        </w:rPr>
        <w:t xml:space="preserve">The findings show that Student Worksheets were used as supplementary materials after the teacher explained the main lesson. Students were subsequently asked to read the content and instructions, complete exercises, and review the material. However, classroom observations recorded different responses: some students began working promptly, while others waited for additional instructions. This suggests that the opportunity to work independently was available, but students differed in their ability to </w:t>
      </w:r>
      <w:r w:rsidR="00650B5D">
        <w:rPr>
          <w:rFonts w:ascii="Palatino Linotype" w:hAnsi="Palatino Linotype"/>
          <w:bCs/>
          <w:sz w:val="22"/>
          <w:szCs w:val="22"/>
          <w:lang w:val="en-ID"/>
        </w:rPr>
        <w:t>take advantage of</w:t>
      </w:r>
      <w:r w:rsidRPr="00AD0A28">
        <w:rPr>
          <w:rFonts w:ascii="Palatino Linotype" w:hAnsi="Palatino Linotype"/>
          <w:bCs/>
          <w:sz w:val="22"/>
          <w:szCs w:val="22"/>
          <w:lang w:val="en-ID"/>
        </w:rPr>
        <w:t xml:space="preserve"> it.</w:t>
      </w:r>
      <w:r w:rsidR="00D46193">
        <w:rPr>
          <w:rFonts w:ascii="Palatino Linotype" w:hAnsi="Palatino Linotype"/>
          <w:bCs/>
          <w:sz w:val="22"/>
          <w:szCs w:val="22"/>
          <w:lang w:val="en-ID"/>
        </w:rPr>
        <w:t xml:space="preserve"> </w:t>
      </w:r>
      <w:r w:rsidRPr="00AD0A28">
        <w:rPr>
          <w:rFonts w:ascii="Palatino Linotype" w:hAnsi="Palatino Linotype"/>
          <w:bCs/>
          <w:sz w:val="22"/>
          <w:szCs w:val="22"/>
          <w:lang w:val="en-ID"/>
        </w:rPr>
        <w:t xml:space="preserve">From a self-regulated learning perspective, reading instructions and beginning a task involve understanding learning demands and deciding how to respond. Worksheets can support these processes by providing information students can consult without repeatedly </w:t>
      </w:r>
      <w:r w:rsidR="00650B5D">
        <w:rPr>
          <w:rFonts w:ascii="Palatino Linotype" w:hAnsi="Palatino Linotype"/>
          <w:bCs/>
          <w:sz w:val="22"/>
          <w:szCs w:val="22"/>
          <w:lang w:val="en-ID"/>
        </w:rPr>
        <w:t>having to request</w:t>
      </w:r>
      <w:r w:rsidRPr="00AD0A28">
        <w:rPr>
          <w:rFonts w:ascii="Palatino Linotype" w:hAnsi="Palatino Linotype"/>
          <w:bCs/>
          <w:sz w:val="22"/>
          <w:szCs w:val="22"/>
          <w:lang w:val="en-ID"/>
        </w:rPr>
        <w:t xml:space="preserve"> explanations</w:t>
      </w:r>
      <w:r w:rsidR="00662FBA">
        <w:rPr>
          <w:rFonts w:ascii="Palatino Linotype" w:hAnsi="Palatino Linotype"/>
          <w:bCs/>
          <w:sz w:val="22"/>
          <w:szCs w:val="22"/>
          <w:lang w:val="en-ID"/>
        </w:rPr>
        <w:t xml:space="preserve"> </w:t>
      </w:r>
      <w:r w:rsidR="00662FBA">
        <w:rPr>
          <w:rFonts w:ascii="Palatino Linotype" w:hAnsi="Palatino Linotype"/>
          <w:bCs/>
          <w:sz w:val="22"/>
          <w:szCs w:val="22"/>
          <w:lang w:val="en-ID"/>
        </w:rPr>
        <w:fldChar w:fldCharType="begin"/>
      </w:r>
      <w:r w:rsidR="00662FBA">
        <w:rPr>
          <w:rFonts w:ascii="Palatino Linotype" w:hAnsi="Palatino Linotype"/>
          <w:bCs/>
          <w:sz w:val="22"/>
          <w:szCs w:val="22"/>
          <w:lang w:val="en-ID"/>
        </w:rPr>
        <w:instrText xml:space="preserve"> ADDIN ZOTERO_ITEM CSL_CITATION {"citationID":"xsPrsZwW","properties":{"unsorted":false,"formattedCitation":"(Adhikari, 2026; Muti\\uc0\\u8217{}ah &amp; Ramdhani, 2026; Rappa et al., 2026; Sunarti et al., 2026)","plainCitation":"(Adhikari, 2026; Muti’ah &amp; Ramdhani, 2026; Rappa et al., 2026; Sunarti et al., 2026)","noteIndex":0},"citationItems":[{"id":3757,"uris":["http://zotero.org/users/local/XAaPoWI6/items/642DH7W9"],"itemData":{"id":3757,"type":"article-journal","abstract":"Science learning in elementary schools requires concrete learning experiences to help students relate scientific concepts to observable phenomena. This study aimed to describe the implementation of a volcanic eruption simulation practicum and analyze students’ engagement and conceptual understanding of volcanic eruption processes. A descriptive qualitative approach was applied through content analysis of 33 Student Worksheets (LKPD) collected from 36 fifth-grade students at SDN Kramatwatu 1. The analysis focused on students’ observations and conclusions after participating in the practicum activity. The results showed that all students who submitted worksheets (33 students or 100%) reported understanding the volcanic eruption process. Based on the depth of explanations, 23 students (70%) demonstrated basic understanding, 7 students (21%) showed descriptive-affective understanding, and 3 students (9%) achieved mechanistic understanding. These findings indicate that simple practicum activities can provide meaningful concrete experiences, increase student engagement, and support connections between observed phenomena and science concepts. However, the study did not quantitatively measure learning motivation due to the absence of standardized instruments and a pretest–posttest design. Further research should include motivation assessments and conceptual reinforcement after practical activities.","container-title":"Perspektif : Jurnal Pendidikan dan Ilmu Bahasa","DOI":"10.59059/perspektif.v4i3.3415","ISSN":"2988-5914, 3025-0641","issue":"3","journalAbbreviation":"Perspektif","license":"https://creativecommons.org/licenses/by-sa/4.0","page":"51-58","source":"DOI.org (Crossref)","title":"Penerapan Praktikum Simulasi Gunung Meletus untuk Meningkatkan Keterlibatan dan Pemahaman IPA Siswa Kelas V Sekolah Dasar","volume":"4","author":[{"family":"Sunarti","given":"Titi"},{"family":"Aisha","given":"Afidha Robiatul"},{"family":"Safitri","given":"Aizahwa Nur"},{"family":"Febrianti","given":"Ita"},{"family":"Septianis","given":"Ratu Dian"}],"issued":{"date-parts":[["2026",9,19]]}}},{"id":3752,"uris":["http://zotero.org/users/local/XAaPoWI6/items/KC2J9Z3F"],"itemData":{"id":3752,"type":"article-journal","abstract":"Higher Order Thinking Skills (HOTS) serve as a crucial indicator in learning, as they encourage students to analyze information, evaluate issues, and develop ideas. This study aims to analyze: (1) the implementation of a HOTS-based instructional design for Islamic Religious Education (PAI) regarding the topic of Syu’abul Iman (Branches of Faith) in Grade X at SMAN 1 Mataram; and (2) the types of learning activities that foster the development of students' creative thinking. A qualitative, descriptive research approach was employed. Data were collected through two classroom observations, interviews with the PAI teacher and three students, and a review of instructional documentation. The data underwent thematic analysis by categorizing findings according to the revised Bloom's Taxonomy and subsequently triangulating the results from observations, interviews, and documentation. The findings indicate that the HOTS-based instructional design was implemented through the use of student worksheets or modules, material review, Quranic literacy activities, verse translation, contextual questioning, case studies, reflection, comparative analysis of opinions, and daily assignments. Activities corresponding to levels C1–C3 were evident in tasks involving recalling, understanding, and applying the material, whereas levels C4–C5 were observed in activities such as analyzing behaviors, providing justifications, connecting verses to daily life, and evaluating the alignment of behavior with values ​​of faith. Activities fostering level C6 and creative thinking such as formulating examples, elaborating on explanations, and proposing solutions were beginning to emerge, though not yet consistently across all students. This study demonstrates that the PAI instructional design for the Syu’abul Iman topic has progressively shifted from lower-order thinking skills toward higher-order thinking skills.","container-title":"Ihsanika: Jurnal Pendidikan Agama Islam","DOI":"10.59841/ihsanika.v4i3.4237","ISSN":"3025-2180, 3025-2172","issue":"3","journalAbbreviation":"IHSANIKA","license":"https://creativecommons.org/licenses/by-sa/4.0","page":"471-482","source":"DOI.org (Crossref)","title":"Analisis Desain Pembelajaran PAI, Berbasis HOTS pada Materi Syu’abul Iman dalam Meningkatkan Creative Thinking Siswa Kelas X SMAN 1 Mataram","volume":"4","author":[{"family":"Muti'ah","given":"Khufyatil"},{"family":"Ramdhani","given":"Deddy"}],"issued":{"date-parts":[["2026",9,30]]}}},{"id":3754,"uris":["http://zotero.org/users/local/XAaPoWI6/items/VSPF9IGW"],"itemData":{"id":3754,"type":"article-journal","abstract":"Abstract\n            \n              \n              Despite increasing interest in using Generative Artificial Intelligence (GenAI) in education, little is known about how students with disability engage with GenAI to support their own learning. This study investigates the p</w:instrText>
      </w:r>
      <w:r w:rsidR="00662FBA">
        <w:rPr>
          <w:rFonts w:ascii="Palatino Linotype" w:hAnsi="Palatino Linotype" w:hint="eastAsia"/>
          <w:bCs/>
          <w:sz w:val="22"/>
          <w:szCs w:val="22"/>
          <w:lang w:val="en-ID"/>
        </w:rPr>
        <w:instrText>otential of ChatGPT to support the learning agency of adolescents with disability in a secondary science classroom in Australia. Guided by sociocultural and socio</w:instrText>
      </w:r>
      <w:r w:rsidR="00662FBA">
        <w:rPr>
          <w:rFonts w:ascii="Palatino Linotype" w:hAnsi="Palatino Linotype" w:hint="eastAsia"/>
          <w:bCs/>
          <w:sz w:val="22"/>
          <w:szCs w:val="22"/>
          <w:lang w:val="en-ID"/>
        </w:rPr>
        <w:instrText>‐</w:instrText>
      </w:r>
      <w:r w:rsidR="00662FBA">
        <w:rPr>
          <w:rFonts w:ascii="Palatino Linotype" w:hAnsi="Palatino Linotype" w:hint="eastAsia"/>
          <w:bCs/>
          <w:sz w:val="22"/>
          <w:szCs w:val="22"/>
          <w:lang w:val="en-ID"/>
        </w:rPr>
        <w:instrText>material conceptualisations of agency, the study explored the mediated choices and capabilit</w:instrText>
      </w:r>
      <w:r w:rsidR="00662FBA">
        <w:rPr>
          <w:rFonts w:ascii="Palatino Linotype" w:hAnsi="Palatino Linotype"/>
          <w:bCs/>
          <w:sz w:val="22"/>
          <w:szCs w:val="22"/>
          <w:lang w:val="en-ID"/>
        </w:rPr>
        <w:instrText>ies of three students with disability to use ChatGPT to facilitate their learning. The study was conducted in a class comprising students of varying ages clinically diagnosed with diverse learning needs. Data sources included student interviews, the students' conversations with ChatGPT, teachers' lesson worksheets and video recordings of the lesson. Thematic analyses reveal that while students expressed clear and meaningful choices to use ChatGPT to support their learning, they faced metacognitive challenges and cognitive constraints, resulting in a misalignment between their choices and actual capability. The findings identify key theoretical perspectives and practical considerations for supporting students with disability in using GenAI to develop their learning agency. The study recommends customising GenAI for specific learning needs in line with its function as a cognitive prosthesis for students with disability and for better alignment with Universal Design for Learning, thereby supporting students' learning agency.\n            \n            \n              \n              \n                \n                  \n                    Practitioner notes\n                  \n                  \n                    What is already known about this topic\n                    \n                      \n                        The development of students' learning agency has been widely explored in the secondary context, but not for students with disability.\n                      \n                      \n                        There is increasing interest in using Generative AI (GenAI) to support inclusive education.\n                      \n                      \n                        Current theoretical frameworks can inform the exploration of the learning agency of students with disability using GenAI.\n                      \n                    \n                  \n                  \n                    What this paper adds\n                    \n                      \n                        Foregrounds the learning choices of students with disability as indicators of their emergent learning agency.\n                      \n                      \n                        Identifies learning challenges facing students with disability that misa</w:instrText>
      </w:r>
      <w:r w:rsidR="00662FBA">
        <w:rPr>
          <w:rFonts w:ascii="Palatino Linotype" w:hAnsi="Palatino Linotype" w:hint="eastAsia"/>
          <w:bCs/>
          <w:sz w:val="22"/>
          <w:szCs w:val="22"/>
          <w:lang w:val="en-ID"/>
        </w:rPr>
        <w:instrText>lign their learning choices and capabilities.\n                      \n                      \n                        Examines GenAI's potential as a socio</w:instrText>
      </w:r>
      <w:r w:rsidR="00662FBA">
        <w:rPr>
          <w:rFonts w:ascii="Palatino Linotype" w:hAnsi="Palatino Linotype" w:hint="eastAsia"/>
          <w:bCs/>
          <w:sz w:val="22"/>
          <w:szCs w:val="22"/>
          <w:lang w:val="en-ID"/>
        </w:rPr>
        <w:instrText>‐</w:instrText>
      </w:r>
      <w:r w:rsidR="00662FBA">
        <w:rPr>
          <w:rFonts w:ascii="Palatino Linotype" w:hAnsi="Palatino Linotype" w:hint="eastAsia"/>
          <w:bCs/>
          <w:sz w:val="22"/>
          <w:szCs w:val="22"/>
          <w:lang w:val="en-ID"/>
        </w:rPr>
        <w:instrText xml:space="preserve">material mediator facilitating the material and relational agency of students with disability.\n  </w:instrText>
      </w:r>
      <w:r w:rsidR="00662FBA">
        <w:rPr>
          <w:rFonts w:ascii="Palatino Linotype" w:hAnsi="Palatino Linotype"/>
          <w:bCs/>
          <w:sz w:val="22"/>
          <w:szCs w:val="22"/>
          <w:lang w:val="en-ID"/>
        </w:rPr>
        <w:instrText xml:space="preserve">                    \n                    \n                  \n                  \n                    Implications for practice and/or policy\n                    \n                      \n                        Consulting students with disability on how GenAI can support their learning, providing opportunities for them to express their learning preferences.\n                      \n                      \n                        Customising GenAI tools in line with the Universal Design for Learning guidelines to address the specific learning challenges of students with disability.\n                      \n                      \n                        Clarifying the roles of teachers and education assistants in facilitating the learning agency of students with disability in light of customising GenAI to mediate their learning agency.","container-title":"British Journal of Educational Technology","DOI":"10.1111/bjet.70048","ISSN":"0007-1013, 1467-8535","issue":"4","journalAbbreviation":"Brit J Educational Tech","language":"en","page":"924-942","source":"DOI.org (Crossref)","title":"Can Generative AI Support the Learning Agency of Students with Disability? A Case Study of an Australian Secondary School","title-short":"Can Generative &lt;span style=\"font-</w:instrText>
      </w:r>
      <w:r w:rsidR="00662FBA">
        <w:rPr>
          <w:rFonts w:ascii="Palatino Linotype" w:hAnsi="Palatino Linotype" w:hint="eastAsia"/>
          <w:bCs/>
          <w:sz w:val="22"/>
          <w:szCs w:val="22"/>
          <w:lang w:val="en-ID"/>
        </w:rPr>
        <w:instrText>variant","volume":"57","author":[{"family":"Rappa","given":"Natasha Anne"},{"family":"Nonis","given":"Karen P."},{"family":"Tang","given":"Kok</w:instrText>
      </w:r>
      <w:r w:rsidR="00662FBA">
        <w:rPr>
          <w:rFonts w:ascii="Palatino Linotype" w:hAnsi="Palatino Linotype" w:hint="eastAsia"/>
          <w:bCs/>
          <w:sz w:val="22"/>
          <w:szCs w:val="22"/>
          <w:lang w:val="en-ID"/>
        </w:rPr>
        <w:instrText>‐</w:instrText>
      </w:r>
      <w:r w:rsidR="00662FBA">
        <w:rPr>
          <w:rFonts w:ascii="Palatino Linotype" w:hAnsi="Palatino Linotype" w:hint="eastAsia"/>
          <w:bCs/>
          <w:sz w:val="22"/>
          <w:szCs w:val="22"/>
          <w:lang w:val="en-ID"/>
        </w:rPr>
        <w:instrText>Sing"},{"family":"Cooper","given":"Grant"},{"family":"Cooper","given":"Martin"},{"family":"Sims","given":"Craig"</w:instrText>
      </w:r>
      <w:r w:rsidR="00662FBA">
        <w:rPr>
          <w:rFonts w:ascii="Palatino Linotype" w:hAnsi="Palatino Linotype"/>
          <w:bCs/>
          <w:sz w:val="22"/>
          <w:szCs w:val="22"/>
          <w:lang w:val="en-ID"/>
        </w:rPr>
        <w:instrText xml:space="preserve">}],"issued":{"date-parts":[["2026",7]]}}},{"id":3755,"uris":["http://zotero.org/users/local/XAaPoWI6/items/CISJEJWW"],"itemData":{"id":3755,"type":"article","abstract":"Teaching abstract theoretical computer science (TCS) concepts such as algorithm analysis and complexity theory is challenging because students must handle formal proofs and asymptotic reasoning that conventional resources rarely explain in an adaptive, on-demand way. We present AlgoRAG, a specialized Retrieval-Augmented Generation (RAG) system that couples a large language model (LLM) with a curated, domain-specific knowledge base to address these challenges. The knowledge base integrates authoritative textbooks, 847 lecture slides, 312 practice problems with solutions, 156 worked proof templates, and 89 complexity worksheets. AlgoRAG incorporates domain-specific optimizations including mathematical entity recognition, notation-aware retrieval, and pedagogical re-ranking. We evaluate AlgoRAG on 179 curated exam-style questions spanning asymptotic analysis, recurrence relations, dynamic programming, graph algorithms, NP-completeness, sorting, and divide-and-conquer. The system achieves a 100% success rate with a mean response time of 38.0 seconds. While BLEU-4 scores are zero -- a known limitation of n-gram matching on mathematical proofs where equivalent reasoning may use entirely different notation -- AlgoRAG attains ROUGE-1 F1 of 0.0963, ROUGE-L F1 of 0.0683, and a pedagogical quality score of 0.7620, indicating that responses are well-structured and didactically sound even when surface wording diverges from reference answers. Performance is especially strong on NP-completeness (ROUGE-1 F1 = 0.1285, pedagogical quality = 0.7643) and graph algorithms (ROUGE-1 F1 = 0.1023, pedagogical quality = 0.8086). These results support the conclusion that RAG is an effective architecture for personalized theoretical-CS instruction, providing correct, context-rich explanations even for highly abstract topics.","DOI":"10.48550/ARXIV.2609.14572","license":"Creative Commons Attribution 4.0 International","note":"version: 1","publisher":"arXiv","source":"DOI.org (Datacite)","title":"AlgoRAG: Retrieval-Augmented Generation for Theoretical Computer Science Education -- A Comprehensive Evaluation Framework for Algorithm Analysis and Complexity Theory","title-short":"AlgoRAG","URL":"https://arxiv.org/abs/2609.14572","author":[{"family":"Adhikari","given":"Sushan"}],"accessed":{"date-parts":[["2026",10,10]]},"issued":{"date-parts":[["2026",9,15]]}}}],"schema":"https://github.com/citation-style-language/schema/raw/master/csl-citation.json"} </w:instrText>
      </w:r>
      <w:r w:rsidR="00662FBA">
        <w:rPr>
          <w:rFonts w:ascii="Palatino Linotype" w:hAnsi="Palatino Linotype"/>
          <w:bCs/>
          <w:sz w:val="22"/>
          <w:szCs w:val="22"/>
          <w:lang w:val="en-ID"/>
        </w:rPr>
        <w:fldChar w:fldCharType="separate"/>
      </w:r>
      <w:r w:rsidR="00662FBA" w:rsidRPr="00662FBA">
        <w:rPr>
          <w:rFonts w:ascii="Palatino Linotype" w:eastAsiaTheme="minorHAnsi" w:hAnsi="Palatino Linotype"/>
          <w:sz w:val="22"/>
          <w:szCs w:val="24"/>
          <w:lang w:val="en-US"/>
        </w:rPr>
        <w:t>(Adhikari, 2026; Muti’ah &amp; Ramdhani, 2026; Rappa et al., 2026; Sunarti et al., 2026)</w:t>
      </w:r>
      <w:r w:rsidR="00662FBA">
        <w:rPr>
          <w:rFonts w:ascii="Palatino Linotype" w:hAnsi="Palatino Linotype"/>
          <w:bCs/>
          <w:sz w:val="22"/>
          <w:szCs w:val="22"/>
          <w:lang w:val="en-ID"/>
        </w:rPr>
        <w:fldChar w:fldCharType="end"/>
      </w:r>
      <w:r w:rsidRPr="00AD0A28">
        <w:rPr>
          <w:rFonts w:ascii="Palatino Linotype" w:hAnsi="Palatino Linotype"/>
          <w:bCs/>
          <w:sz w:val="22"/>
          <w:szCs w:val="22"/>
          <w:lang w:val="en-ID"/>
        </w:rPr>
        <w:t xml:space="preserve">. Nevertheless, completing a worksheet does not, by itself, demonstrate self-regulation. Independence is more apparent when students identify what is required, initiate their work, and monitor their understanding </w:t>
      </w:r>
      <w:r w:rsidR="00650B5D">
        <w:rPr>
          <w:rFonts w:ascii="Palatino Linotype" w:hAnsi="Palatino Linotype"/>
          <w:bCs/>
          <w:sz w:val="22"/>
          <w:szCs w:val="22"/>
          <w:lang w:val="en-ID"/>
        </w:rPr>
        <w:t>as</w:t>
      </w:r>
      <w:r w:rsidRPr="00AD0A28">
        <w:rPr>
          <w:rFonts w:ascii="Palatino Linotype" w:hAnsi="Palatino Linotype"/>
          <w:bCs/>
          <w:sz w:val="22"/>
          <w:szCs w:val="22"/>
          <w:lang w:val="en-ID"/>
        </w:rPr>
        <w:t xml:space="preserve"> t</w:t>
      </w:r>
      <w:r w:rsidR="00650B5D">
        <w:rPr>
          <w:rFonts w:ascii="Palatino Linotype" w:hAnsi="Palatino Linotype"/>
          <w:bCs/>
          <w:sz w:val="22"/>
          <w:szCs w:val="22"/>
          <w:lang w:val="en-ID"/>
        </w:rPr>
        <w:t>hey</w:t>
      </w:r>
      <w:r w:rsidRPr="00AD0A28">
        <w:rPr>
          <w:rFonts w:ascii="Palatino Linotype" w:hAnsi="Palatino Linotype"/>
          <w:bCs/>
          <w:sz w:val="22"/>
          <w:szCs w:val="22"/>
          <w:lang w:val="en-ID"/>
        </w:rPr>
        <w:t xml:space="preserve"> complet</w:t>
      </w:r>
      <w:r w:rsidR="00650B5D">
        <w:rPr>
          <w:rFonts w:ascii="Palatino Linotype" w:hAnsi="Palatino Linotype"/>
          <w:bCs/>
          <w:sz w:val="22"/>
          <w:szCs w:val="22"/>
          <w:lang w:val="en-ID"/>
        </w:rPr>
        <w:t>e tasks</w:t>
      </w:r>
      <w:r w:rsidRPr="00AD0A28">
        <w:rPr>
          <w:rFonts w:ascii="Palatino Linotype" w:hAnsi="Palatino Linotype"/>
          <w:bCs/>
          <w:sz w:val="22"/>
          <w:szCs w:val="22"/>
          <w:lang w:val="en-ID"/>
        </w:rPr>
        <w:t>.</w:t>
      </w:r>
    </w:p>
    <w:p w14:paraId="396791F4" w14:textId="1050D52E" w:rsidR="00AD0A28" w:rsidRPr="00AD0A28" w:rsidRDefault="00AD0A28" w:rsidP="007D57B4">
      <w:pPr>
        <w:spacing w:line="360" w:lineRule="auto"/>
        <w:ind w:firstLine="720"/>
        <w:contextualSpacing/>
        <w:jc w:val="both"/>
        <w:rPr>
          <w:rFonts w:ascii="Palatino Linotype" w:hAnsi="Palatino Linotype"/>
          <w:bCs/>
          <w:sz w:val="22"/>
          <w:szCs w:val="22"/>
          <w:lang w:val="en-ID"/>
        </w:rPr>
      </w:pPr>
      <w:r w:rsidRPr="00AD0A28">
        <w:rPr>
          <w:rFonts w:ascii="Palatino Linotype" w:hAnsi="Palatino Linotype"/>
          <w:bCs/>
          <w:sz w:val="22"/>
          <w:szCs w:val="22"/>
          <w:lang w:val="en-ID"/>
        </w:rPr>
        <w:t>This interpretation is consistent with</w:t>
      </w:r>
      <w:r w:rsidR="00A04E41">
        <w:rPr>
          <w:rFonts w:ascii="Palatino Linotype" w:hAnsi="Palatino Linotype"/>
          <w:bCs/>
          <w:sz w:val="22"/>
          <w:szCs w:val="22"/>
          <w:lang w:val="en-ID"/>
        </w:rPr>
        <w:t xml:space="preserve"> </w:t>
      </w:r>
      <w:r w:rsidR="00A04E41">
        <w:rPr>
          <w:rFonts w:ascii="Palatino Linotype" w:hAnsi="Palatino Linotype"/>
          <w:bCs/>
          <w:sz w:val="22"/>
          <w:szCs w:val="22"/>
          <w:lang w:val="en-ID"/>
        </w:rPr>
        <w:fldChar w:fldCharType="begin"/>
      </w:r>
      <w:r w:rsidR="00A04E41">
        <w:rPr>
          <w:rFonts w:ascii="Palatino Linotype" w:hAnsi="Palatino Linotype"/>
          <w:bCs/>
          <w:sz w:val="22"/>
          <w:szCs w:val="22"/>
          <w:lang w:val="en-ID"/>
        </w:rPr>
        <w:instrText xml:space="preserve"> ADDIN ZOTERO_ITEM CSL_CITATION {"citationID":"HfTUVAUe","properties":{"unsorted":false,"formattedCitation":"(Sunarti et al., 2026)","plainCitation":"(Sunarti et al., 2026)","noteIndex":0},"citationItems":[{"id":3757,"uris":["http://zotero.org/users/local/XAaPoWI6/items/642DH7W9"],"itemData":{"id":3757,"type":"article-journal","abstract":"Science learning in elementary schools requires concrete learning experiences to help students relate scientific concepts to observable phenomena. This study aimed to describe the implementation of a volcanic eruption simulation practicum and analyze students’ engagement and conceptual understanding of volcanic eruption processes. A descriptive qualitative approach was applied through content analysis of 33 Student Worksheets (LKPD) collected from 36 fifth-grade students at SDN Kramatwatu 1. The analysis focused on students’ observations and conclusions after participating in the practicum activity. The results showed that all students who submitted worksheets (33 students or 100%) reported understanding the volcanic eruption process. Based on the depth of explanations, 23 students (70%) demonstrated basic understanding, 7 students (21%) showed descriptive-affective understanding, and 3 students (9%) achieved mechanistic understanding. These findings indicate that simple practicum activities can provide meaningful concrete experiences, increase student engagement, and support connections between observed phenomena and science concepts. However, the study did not quantitatively measure learning motivation due to the absence of standardized instruments and a pretest–posttest design. Further research should include motivation assessments and conceptual reinforcement after practical activities.","container-title":"Perspektif : Jurnal Pendidikan dan Ilmu Bahasa","DOI":"10.59059/perspektif.v4i3.3415","ISSN":"2988-5914, 3025-0641","issue":"3","journalAbbreviation":"Perspektif","license":"https://creativecommons.org/licenses/by-sa/4.0","page":"51-58","source":"DOI.org (Crossref)","title":"Penerapan Praktikum Simulasi Gunung Meletus untuk Meningkatkan Keterlibatan dan Pemahaman IPA Siswa Kelas V Sekolah Dasar","volume":"4","author":[{"family":"Sunarti","given":"Titi"},{"family":"Aisha","given":"Afidha Robiatul"},{"family":"Safitri","given":"Aizahwa Nur"},{"family":"Febrianti","given":"Ita"},{"family":"Septianis","given":"Ratu Dian"}],"issued":{"date-parts":[["2026",9,19]]}}}],"schema":"https://github.com/citation-style-language/schema/raw/master/csl-citation.json"} </w:instrText>
      </w:r>
      <w:r w:rsidR="00A04E41">
        <w:rPr>
          <w:rFonts w:ascii="Palatino Linotype" w:hAnsi="Palatino Linotype"/>
          <w:bCs/>
          <w:sz w:val="22"/>
          <w:szCs w:val="22"/>
          <w:lang w:val="en-ID"/>
        </w:rPr>
        <w:fldChar w:fldCharType="separate"/>
      </w:r>
      <w:r w:rsidR="00A04E41">
        <w:rPr>
          <w:rFonts w:ascii="Palatino Linotype" w:hAnsi="Palatino Linotype"/>
          <w:bCs/>
          <w:noProof/>
          <w:sz w:val="22"/>
          <w:szCs w:val="22"/>
          <w:lang w:val="en-ID"/>
        </w:rPr>
        <w:t>(Sunarti et al., 2026)</w:t>
      </w:r>
      <w:r w:rsidR="00A04E41">
        <w:rPr>
          <w:rFonts w:ascii="Palatino Linotype" w:hAnsi="Palatino Linotype"/>
          <w:bCs/>
          <w:sz w:val="22"/>
          <w:szCs w:val="22"/>
          <w:lang w:val="en-ID"/>
        </w:rPr>
        <w:fldChar w:fldCharType="end"/>
      </w:r>
      <w:r w:rsidR="00A04E41">
        <w:rPr>
          <w:rFonts w:ascii="Palatino Linotype" w:hAnsi="Palatino Linotype"/>
          <w:bCs/>
          <w:sz w:val="22"/>
          <w:szCs w:val="22"/>
          <w:lang w:val="en-ID"/>
        </w:rPr>
        <w:t xml:space="preserve">, </w:t>
      </w:r>
      <w:r w:rsidRPr="00AD0A28">
        <w:rPr>
          <w:rFonts w:ascii="Palatino Linotype" w:hAnsi="Palatino Linotype"/>
          <w:bCs/>
          <w:sz w:val="22"/>
          <w:szCs w:val="22"/>
          <w:lang w:val="en-ID"/>
        </w:rPr>
        <w:t xml:space="preserve">who examined </w:t>
      </w:r>
      <w:bookmarkStart w:id="0" w:name="_Hlk242546466"/>
      <w:r w:rsidRPr="00AD0A28">
        <w:rPr>
          <w:rFonts w:ascii="Palatino Linotype" w:hAnsi="Palatino Linotype"/>
          <w:bCs/>
          <w:sz w:val="22"/>
          <w:szCs w:val="22"/>
          <w:lang w:val="en-ID"/>
        </w:rPr>
        <w:t xml:space="preserve">process-skill-oriented worksheets in relation to independent learning. </w:t>
      </w:r>
      <w:bookmarkEnd w:id="0"/>
      <w:r w:rsidRPr="00AD0A28">
        <w:rPr>
          <w:rFonts w:ascii="Palatino Linotype" w:hAnsi="Palatino Linotype"/>
          <w:bCs/>
          <w:sz w:val="22"/>
          <w:szCs w:val="22"/>
          <w:lang w:val="en-ID"/>
        </w:rPr>
        <w:t xml:space="preserve">It also relates to </w:t>
      </w:r>
      <w:r w:rsidR="00A04E41">
        <w:rPr>
          <w:rFonts w:ascii="Palatino Linotype" w:hAnsi="Palatino Linotype"/>
          <w:bCs/>
          <w:sz w:val="22"/>
          <w:szCs w:val="22"/>
          <w:lang w:val="en-ID"/>
        </w:rPr>
        <w:fldChar w:fldCharType="begin"/>
      </w:r>
      <w:r w:rsidR="00A04E41">
        <w:rPr>
          <w:rFonts w:ascii="Palatino Linotype" w:hAnsi="Palatino Linotype"/>
          <w:bCs/>
          <w:sz w:val="22"/>
          <w:szCs w:val="22"/>
          <w:lang w:val="en-ID"/>
        </w:rPr>
        <w:instrText xml:space="preserve"> ADDIN ZOTERO_ITEM CSL_CITATION {"citationID":"CrUKuIp3","properties":{"unsorted":false,"formattedCitation":"(Yustiana &amp; Afandi, 2026)","plainCitation":"(Yustiana &amp; Afandi, 2026)","noteIndex":0},"citationItems":[{"id":3759,"uris":["http://zotero.org/users/local/XAaPoWI6/items/CPC9KP8N"],"itemData":{"id":3759,"type":"article-journal","abstract":"Objective: This study aims to develop and test the feasibility of gamified digital worksheets with AI feedback support to promote active learning in elementary Civic Education (PKn). Method: The study employed a research and development design using the 4D model consisting of define, design, develop, and disseminate stages. The participants were fourth-grade elementary students, and the evaluation involved expert validation, a limited trial, and a broader trial. Two expert raters validated the draft across six aspects: civic education content, digital media, gamification, active learning, AI feedback support, and language. Content validity was analyzed using Aiken's V, while inter-rater reliability was calculated using percentage agreement, Cohen's kappa, and the intraclass correlation coefficient (ICC). Teacher and student responses were converted into percentages and categorized as Very Good, Good, Fair, or Poor. Results: The average Aiken's V was 0.90, with a range of 0.67-1.00, indicating that the product was highly valid. Inter-rater reliability showed 83.33% exact agreement, Cohen's kappa of 0.61, and ICC of 0.61. Teacher responses increased from 93.33% in the limited trial to 100.00% in the broader trial, while student responses increased from 97.46% to 99.15%. Novelty: The study offers a gamified worksheet model in which AI serves as a feedback and reflection support tool, while gamification and active learning remain the main pedagogical structure for strengthening civic understanding, participation, and responsibility in elementary learning.","container-title":"IJORER : International Journal of Recent Educational Research","DOI":"10.46245/ijorer.v7i4.1512","ISSN":"2721-7965, 2721-852X","issue":"4","journalAbbreviation":"IJORER  Int. J. Recent Educ. Res.","license":"https://creativecommons.org/licenses/by-sa/4.0","page":"426-435","source":"DOI.org (Crossref)","title":"Gamified Digital Worksheets with AI Feedback Support for Active Learning in Elementary Civic Education","volume":"7","author":[{"family":"Yustiana","given":"Sari"},{"family":"Afandi","given":"Muhamad"}],"issued":{"date-parts":[["2026",7,27]]}}}],"schema":"https://github.com/citation-style-language/schema/raw/master/csl-citation.json"} </w:instrText>
      </w:r>
      <w:r w:rsidR="00A04E41">
        <w:rPr>
          <w:rFonts w:ascii="Palatino Linotype" w:hAnsi="Palatino Linotype"/>
          <w:bCs/>
          <w:sz w:val="22"/>
          <w:szCs w:val="22"/>
          <w:lang w:val="en-ID"/>
        </w:rPr>
        <w:fldChar w:fldCharType="separate"/>
      </w:r>
      <w:r w:rsidR="00A04E41">
        <w:rPr>
          <w:rFonts w:ascii="Palatino Linotype" w:hAnsi="Palatino Linotype"/>
          <w:bCs/>
          <w:noProof/>
          <w:sz w:val="22"/>
          <w:szCs w:val="22"/>
          <w:lang w:val="en-ID"/>
        </w:rPr>
        <w:t>(Yustiana &amp; Afandi, 2026)</w:t>
      </w:r>
      <w:r w:rsidR="00A04E41">
        <w:rPr>
          <w:rFonts w:ascii="Palatino Linotype" w:hAnsi="Palatino Linotype"/>
          <w:bCs/>
          <w:sz w:val="22"/>
          <w:szCs w:val="22"/>
          <w:lang w:val="en-ID"/>
        </w:rPr>
        <w:fldChar w:fldCharType="end"/>
      </w:r>
      <w:r w:rsidR="00A04E41">
        <w:rPr>
          <w:rFonts w:ascii="Palatino Linotype" w:hAnsi="Palatino Linotype"/>
          <w:bCs/>
          <w:sz w:val="22"/>
          <w:szCs w:val="22"/>
          <w:lang w:val="en-ID"/>
        </w:rPr>
        <w:t xml:space="preserve"> </w:t>
      </w:r>
      <w:r w:rsidRPr="00AD0A28">
        <w:rPr>
          <w:rFonts w:ascii="Palatino Linotype" w:hAnsi="Palatino Linotype"/>
          <w:bCs/>
          <w:sz w:val="22"/>
          <w:szCs w:val="22"/>
          <w:lang w:val="en-ID"/>
        </w:rPr>
        <w:t>whose research addressed digital worksheets designed to support independent learning. Although the formats and research contexts differ, these studies place structured learning activities within efforts to support student independence.</w:t>
      </w:r>
      <w:r w:rsidR="007D57B4">
        <w:rPr>
          <w:rFonts w:ascii="Palatino Linotype" w:hAnsi="Palatino Linotype"/>
          <w:bCs/>
          <w:sz w:val="22"/>
          <w:szCs w:val="22"/>
          <w:lang w:val="en-ID"/>
        </w:rPr>
        <w:t xml:space="preserve"> </w:t>
      </w:r>
      <w:r w:rsidRPr="00AD0A28">
        <w:rPr>
          <w:rFonts w:ascii="Palatino Linotype" w:hAnsi="Palatino Linotype"/>
          <w:bCs/>
          <w:sz w:val="22"/>
          <w:szCs w:val="22"/>
          <w:lang w:val="en-ID"/>
        </w:rPr>
        <w:t xml:space="preserve">The present findings affirm the potential of worksheets to provide opportunities for independent learning while qualifying that potential. In the observed classroom, the same resource was accompanied by both independent task initiation and continued reliance on instructions. The contribution of this study is therefore to show that worksheet use needs </w:t>
      </w:r>
      <w:r w:rsidRPr="00AD0A28">
        <w:rPr>
          <w:rFonts w:ascii="Palatino Linotype" w:hAnsi="Palatino Linotype"/>
          <w:bCs/>
          <w:sz w:val="22"/>
          <w:szCs w:val="22"/>
          <w:lang w:val="en-ID"/>
        </w:rPr>
        <w:lastRenderedPageBreak/>
        <w:t>to be examined through students’ actual participation, alongside the characteristics of the material.</w:t>
      </w:r>
    </w:p>
    <w:p w14:paraId="55571A7A" w14:textId="2B4FE03D" w:rsidR="00AD0A28" w:rsidRPr="007D57B4" w:rsidRDefault="00AD0A28" w:rsidP="00AD0A28">
      <w:pPr>
        <w:spacing w:line="360" w:lineRule="auto"/>
        <w:contextualSpacing/>
        <w:jc w:val="both"/>
        <w:rPr>
          <w:rFonts w:ascii="Palatino Linotype" w:hAnsi="Palatino Linotype"/>
          <w:b/>
          <w:sz w:val="22"/>
          <w:szCs w:val="22"/>
          <w:lang w:val="en-ID"/>
        </w:rPr>
      </w:pPr>
      <w:r w:rsidRPr="007D57B4">
        <w:rPr>
          <w:rFonts w:ascii="Palatino Linotype" w:hAnsi="Palatino Linotype"/>
          <w:b/>
          <w:sz w:val="22"/>
          <w:szCs w:val="22"/>
          <w:lang w:val="en-ID"/>
        </w:rPr>
        <w:t>Manifestations of Students’ Independent Learning</w:t>
      </w:r>
    </w:p>
    <w:p w14:paraId="5E850852" w14:textId="534F79E9" w:rsidR="007D57B4" w:rsidRDefault="00AD0A28" w:rsidP="007D57B4">
      <w:pPr>
        <w:spacing w:line="360" w:lineRule="auto"/>
        <w:ind w:firstLine="720"/>
        <w:contextualSpacing/>
        <w:jc w:val="both"/>
        <w:rPr>
          <w:rFonts w:ascii="Palatino Linotype" w:hAnsi="Palatino Linotype"/>
          <w:bCs/>
          <w:sz w:val="22"/>
          <w:szCs w:val="22"/>
          <w:lang w:val="en-ID"/>
        </w:rPr>
      </w:pPr>
      <w:r w:rsidRPr="00AD0A28">
        <w:rPr>
          <w:rFonts w:ascii="Palatino Linotype" w:hAnsi="Palatino Linotype"/>
          <w:bCs/>
          <w:sz w:val="22"/>
          <w:szCs w:val="22"/>
          <w:lang w:val="en-ID"/>
        </w:rPr>
        <w:t xml:space="preserve">Independent learning </w:t>
      </w:r>
      <w:r w:rsidR="00650B5D">
        <w:rPr>
          <w:rFonts w:ascii="Palatino Linotype" w:hAnsi="Palatino Linotype"/>
          <w:bCs/>
          <w:sz w:val="22"/>
          <w:szCs w:val="22"/>
          <w:lang w:val="en-ID"/>
        </w:rPr>
        <w:t>was</w:t>
      </w:r>
      <w:r w:rsidRPr="00AD0A28">
        <w:rPr>
          <w:rFonts w:ascii="Palatino Linotype" w:hAnsi="Palatino Linotype"/>
          <w:bCs/>
          <w:sz w:val="22"/>
          <w:szCs w:val="22"/>
          <w:lang w:val="en-ID"/>
        </w:rPr>
        <w:t xml:space="preserve"> </w:t>
      </w:r>
      <w:r w:rsidR="00650B5D">
        <w:rPr>
          <w:rFonts w:ascii="Palatino Linotype" w:hAnsi="Palatino Linotype"/>
          <w:bCs/>
          <w:sz w:val="22"/>
          <w:szCs w:val="22"/>
          <w:lang w:val="en-ID"/>
        </w:rPr>
        <w:t>evident in</w:t>
      </w:r>
      <w:r w:rsidRPr="00AD0A28">
        <w:rPr>
          <w:rFonts w:ascii="Palatino Linotype" w:hAnsi="Palatino Linotype"/>
          <w:bCs/>
          <w:sz w:val="22"/>
          <w:szCs w:val="22"/>
          <w:lang w:val="en-ID"/>
        </w:rPr>
        <w:t xml:space="preserve"> reading before asking questions, attempting assignments, searching for answers, managing time, and responding to difficulties. S1, S3, S7, and S9 described consulting the material or instructions before seeking assistance. S1 and S3 also described organizing assignment time. Conversely, S4 expressed uncertainty about answering alone, while S6 frequently waited for explanations. These accounts indicate that independence differed across students and across aspects of learning.</w:t>
      </w:r>
      <w:r w:rsidR="007D57B4">
        <w:rPr>
          <w:rFonts w:ascii="Palatino Linotype" w:hAnsi="Palatino Linotype"/>
          <w:bCs/>
          <w:sz w:val="22"/>
          <w:szCs w:val="22"/>
          <w:lang w:val="en-ID"/>
        </w:rPr>
        <w:t xml:space="preserve"> </w:t>
      </w:r>
      <w:r w:rsidRPr="00AD0A28">
        <w:rPr>
          <w:rFonts w:ascii="Palatino Linotype" w:hAnsi="Palatino Linotype"/>
          <w:bCs/>
          <w:sz w:val="22"/>
          <w:szCs w:val="22"/>
          <w:lang w:val="en-ID"/>
        </w:rPr>
        <w:t>Self-regulated learning provides a basis for understanding these differences</w:t>
      </w:r>
      <w:r w:rsidR="008C5D56">
        <w:rPr>
          <w:rFonts w:ascii="Palatino Linotype" w:hAnsi="Palatino Linotype"/>
          <w:bCs/>
          <w:sz w:val="22"/>
          <w:szCs w:val="22"/>
          <w:lang w:val="en-ID"/>
        </w:rPr>
        <w:t xml:space="preserve"> </w:t>
      </w:r>
      <w:r w:rsidR="008C5D56">
        <w:rPr>
          <w:rFonts w:ascii="Palatino Linotype" w:hAnsi="Palatino Linotype"/>
          <w:bCs/>
          <w:sz w:val="22"/>
          <w:szCs w:val="22"/>
          <w:lang w:val="en-ID"/>
        </w:rPr>
        <w:fldChar w:fldCharType="begin"/>
      </w:r>
      <w:r w:rsidR="005B231A">
        <w:rPr>
          <w:rFonts w:ascii="Palatino Linotype" w:hAnsi="Palatino Linotype"/>
          <w:bCs/>
          <w:sz w:val="22"/>
          <w:szCs w:val="22"/>
          <w:lang w:val="en-ID"/>
        </w:rPr>
        <w:instrText xml:space="preserve"> ADDIN ZOTERO_ITEM CSL_CITATION {"citationID":"7Ge3yIUL","properties":{"unsorted":false,"formattedCitation":"(Rahman et al., 2026; Rizkiah et al., 2026)","plainCitation":"(Rahman et al., 2026; Rizkiah et al., 2026)","noteIndex":0},"citationItems":[{"id":3777,"uris":["http://zotero.org/users/local/XAaPoWI6/items/VBBK8D5B"],"itemData":{"id":3777,"type":"article-journal","abstract":"This study was motivated by the low level of students’ science conceptual understanding and self regulated learning in elementary schools, indicating the need for more effective and meaningful instructional innovations. The study aimed to develop a Canva-assisted Discovery Learning model to improve both aspects. A quantitative descriptive method was employed using a Research and Development (R&amp;D) approach adapted from Borg and Gall, which included preliminary study, product development, expert validation, limited trials, and field testing. The participants were 56 elementary school students. The instruments consisted of expert validation sheets, a conceptual understanding test, and a self-regulated learning observation sheet. Data were analyzed using reliability and normality tests, followed by a paired sample t-test for normally distributed conceptual understanding data and a Wilcoxon test for non-normally distributed self regulated learning data. Learning improvement was further examined using N-gain analysis. The results showed that the developed model had high validity and was suitable for implementation. In addition, there was a significant improvement in students’ science conceptual understanding (N-gain = 0.34; moderate category; p &lt; 0.05) as well as in their self-regulated learning (p &lt; 0.05). Therefore, the Canva-assisted Discovery Learning model is effective as an interactive, contextual, and student-centered approach to science learning.","container-title":"Jurnal Elementaria Edukasia","DOI":"10.31949/jee.v9i2.17964","ISSN":"2655-0857, 2615-4625","issue":"2","journalAbbreviation":"JEE","page":"211-221","source":"DOI.org (Crossref)","title":"Visual Discovery Learning with Canva to Enhance Science Understanding and Self Regulated Learning","volume":"9","author":[{"family":"Rizkiah","given":"Putri Hilma"},{"family":"Samsudin","given":"Asep"},{"family":"Hidayat","given":"Wahyu"}],"issued":{"date-parts":[["2026",6,30]]}}},{"id":3775,"uris":["http://zotero.org/users/local/XAaPoWI6/items/832Y6QD8"],"itemData":{"id":3775,"type":"article-journal","abstract":"Mathematics is an essential subject that develops students' logical and analytical thinking skills. However, many students still experience difficulties in understanding mathematical concepts because learning activities often emphasize memorizing procedures rather than developing conceptual understanding. As a result, students become less engaged and more dependent on teachers during the learning process. This study aimed to determine the effect of the Self-Regulated Learning (SRL) approach on students' mathematical concept understanding. The research employed a quasi-experimental method using a Pretest–Posttest Control Group Design. The study was conducted at SMP Negeri 1 Suwawa and involved 52 seventh-grade students divided into two classes: an experimental class (26 students) taught using the Self-Regulated Learning approach and a control class (26 students) taught using conventional learning. The research instruments consisted of teaching modules, student worksheets (LKPD), and essay tests designed to measure mathematical concept understanding. Data were collected through pretests and posttests and analyzed using descriptive statistics, normality tests, homogeneity tests, and an independent sample t-test. The results showed that the Self-Regulated Learning approach had a significant effect on students' mathematical concept understanding. The hypothesis test revealed that the calculated t-value (3.881) was greater than the critical t-value (1.675) at a significance level of 0.05. Furthermore, the experimental class achieved a higher mean posttest score (20.85) than the control class (18.39). In conclusion, the Self-Regulated Learning approach significantly improves students' mathematical concept understanding and is more effective than conventional learning in teaching integer number concepts to seventh-grade students.","container-title":"Journal of Innovative Mathematics Learning","DOI":"10.22460/jiml.v9i3.32284","ISSN":"2621-4741, 2621-4733","issue":"3","journalAbbreviation":"J. of Innovative Math. Learn.","license":"http://creativecommons.org/licenses/by-sa/4.0","page":"654-664","source":"DOI.org (Crossref)","title":"The Effect of Self-Regulated Learning Approach on Students’ Mathematical Understanding","volume":"9","author":[{"family":"Rahman","given":"Murtila"},{"family":"Badu","given":"Syamsu Qamar"},{"family":"Katili","given":"Nancy"}],"issued":{"date-parts":[["2026",9,26]]}}}],"schema":"https://github.com/citation-style-language/schema/raw/master/csl-citation.json"} </w:instrText>
      </w:r>
      <w:r w:rsidR="008C5D56">
        <w:rPr>
          <w:rFonts w:ascii="Palatino Linotype" w:hAnsi="Palatino Linotype"/>
          <w:bCs/>
          <w:sz w:val="22"/>
          <w:szCs w:val="22"/>
          <w:lang w:val="en-ID"/>
        </w:rPr>
        <w:fldChar w:fldCharType="separate"/>
      </w:r>
      <w:r w:rsidR="008C5D56">
        <w:rPr>
          <w:rFonts w:ascii="Palatino Linotype" w:hAnsi="Palatino Linotype"/>
          <w:bCs/>
          <w:noProof/>
          <w:sz w:val="22"/>
          <w:szCs w:val="22"/>
          <w:lang w:val="en-ID"/>
        </w:rPr>
        <w:t>(Rahman et al., 2026; Rizkiah et al., 2026)</w:t>
      </w:r>
      <w:r w:rsidR="008C5D56">
        <w:rPr>
          <w:rFonts w:ascii="Palatino Linotype" w:hAnsi="Palatino Linotype"/>
          <w:bCs/>
          <w:sz w:val="22"/>
          <w:szCs w:val="22"/>
          <w:lang w:val="en-ID"/>
        </w:rPr>
        <w:fldChar w:fldCharType="end"/>
      </w:r>
      <w:r w:rsidRPr="00AD0A28">
        <w:rPr>
          <w:rFonts w:ascii="Palatino Linotype" w:hAnsi="Palatino Linotype"/>
          <w:bCs/>
          <w:sz w:val="22"/>
          <w:szCs w:val="22"/>
          <w:lang w:val="en-ID"/>
        </w:rPr>
        <w:t>. Reading instructions and initiating tasks relate to planning; managing time and continuing work relate to regulating learning activities; and rereading material when difficulties arise reflects checking understanding and adjusting an approach</w:t>
      </w:r>
      <w:r w:rsidR="00A04E41">
        <w:rPr>
          <w:rFonts w:ascii="Palatino Linotype" w:hAnsi="Palatino Linotype"/>
          <w:bCs/>
          <w:sz w:val="22"/>
          <w:szCs w:val="22"/>
          <w:lang w:val="en-ID"/>
        </w:rPr>
        <w:t xml:space="preserve"> </w:t>
      </w:r>
      <w:r w:rsidR="00A04E41">
        <w:rPr>
          <w:rFonts w:ascii="Palatino Linotype" w:hAnsi="Palatino Linotype"/>
          <w:bCs/>
          <w:sz w:val="22"/>
          <w:szCs w:val="22"/>
          <w:lang w:val="en-ID"/>
        </w:rPr>
        <w:fldChar w:fldCharType="begin"/>
      </w:r>
      <w:r w:rsidR="00A04E41">
        <w:rPr>
          <w:rFonts w:ascii="Palatino Linotype" w:hAnsi="Palatino Linotype"/>
          <w:bCs/>
          <w:sz w:val="22"/>
          <w:szCs w:val="22"/>
          <w:lang w:val="en-ID"/>
        </w:rPr>
        <w:instrText xml:space="preserve"> ADDIN ZOTERO_ITEM CSL_CITATION {"citationID":"xGItPqN1","properties":{"unsorted":false,"formattedCitation":"(Engada, 2026; Eullaran, 2026; Perez et al., 2026; Sulaiman &amp; Hamed, 2026)","plainCitation":"(Engada, 2026; Eullaran, 2026; Perez et al., 2026; Sulaiman &amp; Hamed, 2026)","noteIndex":0},"citationItems":[{"id":3765,"uris":["http://zotero.org/users/local/XAaPoWI6/items/VN5KUCW3"],"itemData":{"id":3765,"type":"article-journal","abstract":"This study aimed to identify the primary and immediate personal-social, academic, and career concerns of Basic Education learners at San Pablo Colleges across three academic years (Academic Years 2023–2024, 2024–2025, and 2025–2026) to provide an empirical basis for enhancing the institution's learner support and guidance programs. Specifically, the study examined the longitudinal trends in learners' concerns within the three developmental domains and identified recurring and emerging needs that may inform evidence-based guidance interventions. The study employed a quantitative descriptive research design using secondary data derived from the institution's annual Student Needs Assessment conducted by the Student Affairs and Services Office through the Guidance and Career Services Section. Data from three consecutive academic years were analyzed using descriptive statistics, particularly frequency counts and rank ordering, to determine the primary and immediate concerns reported by learners. A longitudinal trend analysis was likewise performed to identify recurring patterns and changes in learner concerns across the three-year period. The findings revealed remarkable consistency in learners' developmental concerns throughout the three academic years. Under the personal-social domain, the need to develop self-confidence, adjusting to change, and managing emotions consistently emerged as the foremost concerns, while financial difficulties became more evident during the latter years. In the academic domain, lack of motivation to study remained the most dominant concern, followed by lack of time management skills or procrastination and lack of effective study habits, indicating persistent challenges related to learners' self-regulated learning behaviors. Career concerns consistently centered on uncertainty in career decision-making, limited knowledge of educational and career opportunities, and the need for career guidance, reflecting learners' continuing need for support in planning their future educational and occupational pathways. The study concludes that the developmental concerns of Basic Education learners have remained largely stable across successive academic years, suggesting that these concerns represent enduring institutional priorities rather than isolated cohort-specific issues. The findings underscore the importance of implementing sustained, data-informed, and developmentally responsive guidance programs that strengthen learners' psychosocial well-being, academic self-regulation, and career readiness. It is recommended that the Guidance and Career Services Section continuously utilize longitudinal needs assessment data in designing, implementing, and evaluating comprehensive interventions tailored to the evolving needs of Basic Education learners.","container-title":"Cognizance Journal of Multidisciplinary Studies","DOI":"10.47760/cognizance.2026.v06i07.023","ISSN":"09767797","issue":"7","journalAbbreviation":"CJMS","page":"499-515","source":"DOI.org (Crossref)","title":"A Three-Year Institutional Needs Assessment of the Personal-Social, Academic, and Career Concerns of Basic Education Learners","volume":"6","author":[{"family":"Perez","given":"Angelique D."},{"family":"Dela Cruz","given":"Mariel Alyssa A."},{"family":"Libit","given":"Aimee Joyce L."}],"issued":{"date-parts":[["2026",7,30]]}}},{"id":3760,"uris":["http://zotero.org/users/local/XAaPoWI6/items/27DMUG6T"],"itemData":{"id":3760,"type":"article-journal","abstract":"The study was conducted to determine the experiences of Grade 5 teachers in addressing reading comprehension difficulties of learners in geographically isolated publicelementary school. This study focused on the reading comprehension difficulties experienced by the learners and contextual factors associated with the reading comprehension difficulties, the strategies used by the teachers through scaffolding, differentiated instruction, contextualization and interaction, the challenges experienced in providing sustained reading comprehension support amidst teaching and other school activities and the insights from teachers’ experiences. This qualitative descriptive study used a total of six Grade 5 teachers from three geographically isolated public elementary schools with two Grade 5 teachers in each school. Data were gathered through semi-structured interviews and thematic analysis was used to analyses the data. The analysis identified five major themes: (1) Beyond Reading Words: Difficulties in Constructing Meaning, (2) Limited Reading Exposure and Contextual Influences, (3) Going Back to the Basics: Scaffolding and Differentiated Instruction, (4) Making Reading Meaningful Through Context and Interaction, and (5) Balancing Reading Support with Competing Teaching Responsibilities. Based on reports from teachers, learners experienced difficulties in understanding vocabulary, identifying main ideas and supporting details, explaining answers, summarizing information, and making inferences. Teachers reported that some students can read the texts but cannot comprehend them or have difficulty identifying the main idea. Teachers associated these difficulties with limited exposure to reading, restricted access to reading materials, differences in home support, limited vocabulary, and resource constraints. Lack of reading materials and limited parental support also affect the learners' ability to read and read fluently. In response to these difficulties, teachers employed guided reading, vocabulary activities, repeated reading, questioning, simplified texts, visual materials, peer support, and differentiated learning activities. They also contextualized reading tasks and used interaction to relate texts to learners’ experiences and prior knowledge. However, limited instructional time—compounded by ancillary responsibilities such as coordinator duties, administrative paperwork, and general school tasks—impeded teachers' ability to deliver consistent, individualized, and sustained reading support. The findings suggest that addressing reading comprehension difficulties requires instruction that responds to learners' needs and contexts. Strengthening access to reading resources, providing adequate opportunities for reading intervention, and supporting teachers in managing competing responsibilities may help sustained reading comprehension support in geographically isolated public elementary schools.","container-title":"INTERNATIONAL JOURNAL OF SOCIAL SCIENCE HUMANITY &amp; MANAGEMENT RESEARCH","DOI":"10.58806/ijsshmr.2026.v5i9n03","ISSN":"28332172, 28332180","issue":"09","journalAbbreviation":"IJSSHMR","source":"DOI.org (Crossref)","title":"Grade 5 Teachers’ Experiences in Addressing Reading Comprehension Difficulties in Geographically Isolated Public Elementary Schools","URL":"https://ijsshmr.com/v5i9/3.php","volume":"05","author":[{"family":"Engada","given":"Augie Grace Capioso"}],"accessed":{"date-parts":[["2026",10,10]]},"issued":{"date-parts":[["2026",9,12]]}}},{"id":3762,"uris":["http://zotero.org/users/local/XAaPoWI6/items/NBVG7DYX"],"itemData":{"id":3762,"type":"article-journal","abstract":"This qualitative study explored learners’ experiences of Visual, Aural, Read/Write, and Kinesthetic (VARK)-based activities in story comprehension, with particular attention to perceived usefulness, responses to comprehension difficulties, and future strategy choice. Fourteen learners from secondary school were treated as the participant group for this manuscript and completed a bilingual open-ended reflection questionnaire after participating in VARK-oriented story activities. The five questionnaire prompts asked learners to identify the modality that helped them most, describe what they did when they did not understand, reflect on a non-preferred modality, identify the easiest part of the story and the modality that supported it, and state which approach they would use first in future reading. The data were analysed thematically following Braun and Clarke’s approach. The interpretation was guided by an integrated conceptual framework drawing on Fleming and Mills’ VARK model and Zimmerman’s Self-Regulated Learning (SRL) framework. Four themes were developed: (1) modality-specific support for comprehension and engagement, (2) strategic regulation of comprehension difficulties, (3) usefulness beyond preferred modalities, and (4) movement towards multimodal learning flexibility. The responses indicated that no single VARK modality was perceived as universally superior. Instead, learners associated different modalities with different functions, including maintaining engagement, visualising story events, supporting listening, remembering information, and learning vocabulary. Learners also reported help-seeking, dictionary use, translation, rereading, repetition, videos, and subtitles when comprehension broke down. Exposure to non-preferred modalities further showed that preference and usefulness were not necessarily identical. The study concludes that VARK is most defensible when used as a reflective scaffold for exploring multiple learning approaches rather than as a basis for fixed learner labels or instructional matching.","container-title":"International Journal of Research and Innovation in Social Science","DOI":"10.47772/IJRISS.2026.102100155","ISSN":"2454-6186, 24546186","issue":"21","journalAbbreviation":"IJRISS","page":"1870-1877","source":"DOI.org (Crossref)","title":"Exploring Learners’ Experiences of VARK-Based Activities in Story Comprehension:A Qualitative Study","title-short":"Exploring Learners’ Experiences of VARK-Based Activities in Story Comprehension","volume":"10","author":[{"family":"Sulaiman","given":"Fazillah"},{"family":"Hamed","given":"Haziq"}],"issued":{"date-parts":[["2026"]]}}},{"id":3764,"uris":["http://zotero.org/users/local/XAaPoWI6/items/7M57EMMF"],"itemData":{"id":3764,"type":"article-journal","abstract":"This qualitative Design-Based Research study designed and iteratively refined a teacher-led digital academic reading ecosystem to support academic literacy among Grade 12 learners at Jose V. Palma Senior High School during Academic Year 2026–2027. It addressed persistent difficulties involving academic vocabulary, complex texts, comprehension, critical analysis, evidence use, learner confidence, and participation. The study was informed by Sociocultural Theory, Connectivism, and Technological Pedagogical Content Knowledge. Evidence was generated through teacher interviews, learner focus-group discussions, classroom observations, researcher reflections, and available digital learning artifacts. Analysis involved coding, thematic development, constant comparison, and cross-cycle examination of continuities, changes, challenges, and design revisions. Findings showed that learners initially experienced academic reading as difficult, intimidating, and frequently completion-oriented. Across the implementation cycles, learners increasingly used previewing, annotation, rereading, summarizing, vocabulary resources, source comparison, collaborative discussion, and textual evidence. Teacher facilitation remained central through modeling, guided questioning, feedback, monitoring, differentiation, and the gradual transfer of responsibility. Digital tools were most productive when they supported clearly defined reading purposes and were adapted to learner needs, disciplinary demands, device access, connectivity, and instructional time. Iterative revisions included clearer instructions, shorter or segmented texts, stronger vocabulary and visual supports, additional formative assessment, and expanded collaborative activities. The study produced a refined teacher-led digital academic reading ecosystem and the Context-Responsive Digital Academic Reading Ecosystem Framework. It concludes that academic literacy development in digitally mediated classrooms depends on purposeful pedagogy, teacher mediation, learner agency, collaboration, contextual responsiveness, and continuous evidence-informed refinement.","container-title":"QualiSearch Journal of Educational Research and Practice","DOI":"10.66437/qjerp.v2i9.006","ISSN":"3082-5636","journalAbbreviation":"QJERP","source":"DOI.org (Crossref)","title":"Designing and Iteratively Refining a Teacher-Led Digital Academic Reading Ecosystem: A Design-Based Research Approach to Academic Literacy Development in an Urban Public Senior High School","title-short":"Designing and Iteratively Refining a Teacher-Led Digital Academic Reading Ecosystem","URL":"https://qualisearchglobal.com/academic-press/article.html?id=3b44127f-9cdd-428e-bf42-b614d15e05e3","author":[{"family":"Eullaran","given":"Leah"}],"accessed":{"date-parts":[["2026",10,10]]},"issued":{"date-parts":[["2026",9,12]]}}}],"schema":"https://github.com/citation-style-language/schema/raw/master/csl-citation.json"} </w:instrText>
      </w:r>
      <w:r w:rsidR="00A04E41">
        <w:rPr>
          <w:rFonts w:ascii="Palatino Linotype" w:hAnsi="Palatino Linotype"/>
          <w:bCs/>
          <w:sz w:val="22"/>
          <w:szCs w:val="22"/>
          <w:lang w:val="en-ID"/>
        </w:rPr>
        <w:fldChar w:fldCharType="separate"/>
      </w:r>
      <w:r w:rsidR="00A04E41">
        <w:rPr>
          <w:rFonts w:ascii="Palatino Linotype" w:hAnsi="Palatino Linotype"/>
          <w:bCs/>
          <w:noProof/>
          <w:sz w:val="22"/>
          <w:szCs w:val="22"/>
          <w:lang w:val="en-ID"/>
        </w:rPr>
        <w:t>(Engada, 2026; Eullaran, 2026; Perez et al., 2026; Sulaiman &amp; Hamed, 2026)</w:t>
      </w:r>
      <w:r w:rsidR="00A04E41">
        <w:rPr>
          <w:rFonts w:ascii="Palatino Linotype" w:hAnsi="Palatino Linotype"/>
          <w:bCs/>
          <w:sz w:val="22"/>
          <w:szCs w:val="22"/>
          <w:lang w:val="en-ID"/>
        </w:rPr>
        <w:fldChar w:fldCharType="end"/>
      </w:r>
      <w:r w:rsidRPr="00AD0A28">
        <w:rPr>
          <w:rFonts w:ascii="Palatino Linotype" w:hAnsi="Palatino Linotype"/>
          <w:bCs/>
          <w:sz w:val="22"/>
          <w:szCs w:val="22"/>
          <w:lang w:val="en-ID"/>
        </w:rPr>
        <w:t xml:space="preserve">. </w:t>
      </w:r>
      <w:r w:rsidR="007D57B4">
        <w:rPr>
          <w:rFonts w:ascii="Palatino Linotype" w:hAnsi="Palatino Linotype"/>
          <w:bCs/>
          <w:sz w:val="22"/>
          <w:szCs w:val="22"/>
          <w:lang w:val="en-ID"/>
        </w:rPr>
        <w:t xml:space="preserve"> </w:t>
      </w:r>
    </w:p>
    <w:p w14:paraId="14E29DE1" w14:textId="0513E121" w:rsidR="00AD0A28" w:rsidRPr="00AD0A28" w:rsidRDefault="00AD0A28" w:rsidP="007D57B4">
      <w:pPr>
        <w:spacing w:line="360" w:lineRule="auto"/>
        <w:ind w:firstLine="720"/>
        <w:contextualSpacing/>
        <w:jc w:val="both"/>
        <w:rPr>
          <w:rFonts w:ascii="Palatino Linotype" w:hAnsi="Palatino Linotype"/>
          <w:bCs/>
          <w:sz w:val="22"/>
          <w:szCs w:val="22"/>
          <w:lang w:val="en-ID"/>
        </w:rPr>
      </w:pPr>
      <w:r w:rsidRPr="00AD0A28">
        <w:rPr>
          <w:rFonts w:ascii="Palatino Linotype" w:hAnsi="Palatino Linotype"/>
          <w:bCs/>
          <w:sz w:val="22"/>
          <w:szCs w:val="22"/>
          <w:lang w:val="en-ID"/>
        </w:rPr>
        <w:t>Confidence can influence students’ willingness to attempt these activities. Thus, a student may demonstrate responsibility for completing assignments while still needing support with initiation or confidence.</w:t>
      </w:r>
      <w:r w:rsidR="007D57B4">
        <w:rPr>
          <w:rFonts w:ascii="Palatino Linotype" w:hAnsi="Palatino Linotype"/>
          <w:bCs/>
          <w:sz w:val="22"/>
          <w:szCs w:val="22"/>
          <w:lang w:val="en-ID"/>
        </w:rPr>
        <w:t xml:space="preserve"> </w:t>
      </w:r>
      <w:r w:rsidRPr="00AD0A28">
        <w:rPr>
          <w:rFonts w:ascii="Palatino Linotype" w:hAnsi="Palatino Linotype"/>
          <w:bCs/>
          <w:sz w:val="22"/>
          <w:szCs w:val="22"/>
          <w:lang w:val="en-ID"/>
        </w:rPr>
        <w:t>These findings are consistent with</w:t>
      </w:r>
      <w:r w:rsidR="003C277B">
        <w:rPr>
          <w:rFonts w:ascii="Palatino Linotype" w:hAnsi="Palatino Linotype"/>
          <w:bCs/>
          <w:sz w:val="22"/>
          <w:szCs w:val="22"/>
          <w:lang w:val="en-ID"/>
        </w:rPr>
        <w:t xml:space="preserve"> </w:t>
      </w:r>
      <w:r w:rsidR="003C277B">
        <w:rPr>
          <w:rFonts w:ascii="Palatino Linotype" w:hAnsi="Palatino Linotype"/>
          <w:bCs/>
          <w:sz w:val="22"/>
          <w:szCs w:val="22"/>
          <w:lang w:val="en-ID"/>
        </w:rPr>
        <w:fldChar w:fldCharType="begin"/>
      </w:r>
      <w:r w:rsidR="003C277B">
        <w:rPr>
          <w:rFonts w:ascii="Palatino Linotype" w:hAnsi="Palatino Linotype"/>
          <w:bCs/>
          <w:sz w:val="22"/>
          <w:szCs w:val="22"/>
          <w:lang w:val="en-ID"/>
        </w:rPr>
        <w:instrText xml:space="preserve"> ADDIN ZOTERO_ITEM CSL_CITATION {"citationID":"h2buPydB","properties":{"unsorted":false,"formattedCitation":"(Astiti et al., 2026)","plainCitation":"(Astiti et al., 2026)","noteIndex":0},"citationItems":[{"id":3766,"uris":["http://zotero.org/users/local/XAaPoWI6/items/ZVTQC68D"],"itemData":{"id":3766,"type":"article-journal","abstract":"Structured tahfizh programs depend on regular submission routines, yet delayed submission may reflect either behavioral self-discipline or constraints in Qur'anic reading and memorization. This single-case qualitative study examined how two tahfizh teachers mediated these distinct problems in the Grid C Putri group at As'ad Private Madrasah Aliyah, Jambi City, Indonesia. The evidence comprised 12 non-participant observations conducted during January-March 2026, semi-structured interviews with the two teachers and 12 of the 29 observed students, and routine schedules, submission logs, and teacher assessment records. A hybrid thematic analysis combined inductive coding with sensitizing concepts from self-regulated learning and Islamic character education. Teachers coordinated three practices: intention-oriented motivation, scheduled muroja'ah, and differentiated individual guidance. The proportion of scheduled submissions completed on time rose descriptively from 60% in week 1 to 78% in week 8, although concurrent evaluation and reprimands prevent attribution to motivation alone. Nineteen students had documented tajwid and makhraj difficulties, and eight were classified by teachers as slow memorizers. Among the latter group, six increased their recorded pace from one to three pages per week and their on-time submission consistency from 55% to 75%; two did not show comparable improvement. The case indicates that self-discipline is best evidenced through observable submission and review behavior, whereas memorization pace and recitation quality are related but separate learning outcomes. The study contributes a context-sensitive model in which institutional scheduling enables regulation, teacher mediation links spiritual purpose with practice, and skill constraints determine the intensity of support required.","container-title":"Al-Tadzkiyyah: Jurnal Pendidikan Islam","DOI":"10.24042/atjpi.v17i3.30540","ISSN":"2528-2476, 2086-9118","issue":"3","journalAbbreviation":"ATJPI","license":"https://creativecommons.org/licenses/by-sa/4.0","page":"543-557","source":"DOI.org (Crossref)","title":"Teacher Mediation of Self-Discipline in Daily Qur'an Memorization Submissions at an Indonesian Madrasah","volume":"17","author":[{"family":"Astiti","given":"Andini Faj`ri"},{"literal":"Husarida"},{"literal":"Arsyad"}],"issued":{"date-parts":[["2026",9,21]]}}}],"schema":"https://github.com/citation-style-language/schema/raw/master/csl-citation.json"} </w:instrText>
      </w:r>
      <w:r w:rsidR="003C277B">
        <w:rPr>
          <w:rFonts w:ascii="Palatino Linotype" w:hAnsi="Palatino Linotype"/>
          <w:bCs/>
          <w:sz w:val="22"/>
          <w:szCs w:val="22"/>
          <w:lang w:val="en-ID"/>
        </w:rPr>
        <w:fldChar w:fldCharType="separate"/>
      </w:r>
      <w:r w:rsidR="003C277B">
        <w:rPr>
          <w:rFonts w:ascii="Palatino Linotype" w:hAnsi="Palatino Linotype"/>
          <w:bCs/>
          <w:noProof/>
          <w:sz w:val="22"/>
          <w:szCs w:val="22"/>
          <w:lang w:val="en-ID"/>
        </w:rPr>
        <w:t>(Astiti et al., 2026)</w:t>
      </w:r>
      <w:r w:rsidR="003C277B">
        <w:rPr>
          <w:rFonts w:ascii="Palatino Linotype" w:hAnsi="Palatino Linotype"/>
          <w:bCs/>
          <w:sz w:val="22"/>
          <w:szCs w:val="22"/>
          <w:lang w:val="en-ID"/>
        </w:rPr>
        <w:fldChar w:fldCharType="end"/>
      </w:r>
      <w:r w:rsidRPr="00AD0A28">
        <w:rPr>
          <w:rFonts w:ascii="Palatino Linotype" w:hAnsi="Palatino Linotype"/>
          <w:bCs/>
          <w:sz w:val="22"/>
          <w:szCs w:val="22"/>
          <w:lang w:val="en-ID"/>
        </w:rPr>
        <w:t xml:space="preserve">, who examined self-regulation and discipline in relation to independent learning, and </w:t>
      </w:r>
      <w:r w:rsidR="003C277B">
        <w:rPr>
          <w:rFonts w:ascii="Palatino Linotype" w:hAnsi="Palatino Linotype"/>
          <w:bCs/>
          <w:sz w:val="22"/>
          <w:szCs w:val="22"/>
          <w:lang w:val="en-ID"/>
        </w:rPr>
        <w:fldChar w:fldCharType="begin"/>
      </w:r>
      <w:r w:rsidR="003C277B">
        <w:rPr>
          <w:rFonts w:ascii="Palatino Linotype" w:hAnsi="Palatino Linotype"/>
          <w:bCs/>
          <w:sz w:val="22"/>
          <w:szCs w:val="22"/>
          <w:lang w:val="en-ID"/>
        </w:rPr>
        <w:instrText xml:space="preserve"> ADDIN ZOTERO_ITEM CSL_CITATION {"citationID":"FgcAxEDh","properties":{"unsorted":false,"formattedCitation":"(Ni\\uc0\\u8217{}matunniza et al., 2026)","plainCitation":"(Ni’matunniza et al., 2026)","noteIndex":0},"citationItems":[{"id":3767,"uris":["http://zotero.org/users/local/XAaPoWI6/items/GTUJUCBC"],"itemData":{"id":3767,"type":"article-journal","abstract":"Independence is a fundamental developmental competency in early childhood because it enables children to regulate their behavior, emotions, and attention while engaging in learning activities and everyday tasks. Nevertheless, many kindergarten children continue to rely heavily on teachers when making decisions, solving problems, and completing assigned activities. Constructive play has been recognized as a play-based learning approach that encourages children to explore, make decisions, and solve problems independently. This study aimed to analyze children's independence as demonstrated during constructive play activities at Mekar Sari Jambe State Kindergarten by focusing on three dimensions of self-regulation: behavioral control, emotional control, and attentional control. A descriptive qualitative approach was employed. Data were collected through classroom observations, semi-structured interviews with teachers and parents, and documentation. The data were analyzed using the interactive model of data reduction, data display, and conclusion drawing, while source and technique triangulation were applied to ensure trustworthiness. The findings revealed that constructive play provided meaningful opportunities for children to independently plan activities, make decisions, regulate their emotions when encountering difficulties, and sustain attention until completing assigned tasks. Children demonstrated improved behavioral control by following classroom rules and taking responsibility for their work, emotional control by persisting despite failure, and attentional control by maintaining concentration throughout the learning process. These findings suggest that constructive play functions not only as a medium for cognitive development but also as an effective pedagogical strategy for fostering children's independence through the development of self-regulation. The study contributes empirical evidence supporting the integration of constructive play into early childhood classrooms to promote independent learning and school readiness.","container-title":"Abjadia : International Journal of Education","DOI":"10.18860/abj.v11i3.44669","ISSN":"2443-0587, 2528-3979","issue":"3","journalAbbreviation":"Abjadia","license":"https://creativecommons.org/licenses/by-sa/4.0/","page":"1403-1414","source":"DOI.org (Crossref)","title":"Fostering Early Childhood Independence through Constructive Play: A Qualitative Study on Behavioral, Emotional, and Attentional Control","title-short":"Fostering Early Childhood Independence through Constructive Play","volume":"11","author":[{"family":"Ni'matunniza","given":"Ida"},{"family":"Dewi","given":"Nurul Fitria Kumala"},{"family":"Fitria","given":"Evy"}],"issued":{"date-parts":[["2026",9,8]]}}}],"schema":"https://github.com/citation-style-language/schema/raw/master/csl-citation.json"} </w:instrText>
      </w:r>
      <w:r w:rsidR="003C277B">
        <w:rPr>
          <w:rFonts w:ascii="Palatino Linotype" w:hAnsi="Palatino Linotype"/>
          <w:bCs/>
          <w:sz w:val="22"/>
          <w:szCs w:val="22"/>
          <w:lang w:val="en-ID"/>
        </w:rPr>
        <w:fldChar w:fldCharType="separate"/>
      </w:r>
      <w:r w:rsidR="003C277B" w:rsidRPr="003C277B">
        <w:rPr>
          <w:rFonts w:ascii="Palatino Linotype" w:eastAsiaTheme="minorHAnsi" w:hAnsi="Palatino Linotype"/>
          <w:sz w:val="22"/>
          <w:szCs w:val="24"/>
          <w:lang w:val="en-US"/>
        </w:rPr>
        <w:t>(Ni’matunniza et al., 2026)</w:t>
      </w:r>
      <w:r w:rsidR="003C277B">
        <w:rPr>
          <w:rFonts w:ascii="Palatino Linotype" w:hAnsi="Palatino Linotype"/>
          <w:bCs/>
          <w:sz w:val="22"/>
          <w:szCs w:val="22"/>
          <w:lang w:val="en-ID"/>
        </w:rPr>
        <w:fldChar w:fldCharType="end"/>
      </w:r>
      <w:r w:rsidR="003C277B">
        <w:rPr>
          <w:rFonts w:ascii="Palatino Linotype" w:hAnsi="Palatino Linotype"/>
          <w:bCs/>
          <w:sz w:val="22"/>
          <w:szCs w:val="22"/>
          <w:lang w:val="en-ID"/>
        </w:rPr>
        <w:t xml:space="preserve"> </w:t>
      </w:r>
      <w:r w:rsidRPr="00AD0A28">
        <w:rPr>
          <w:rFonts w:ascii="Palatino Linotype" w:hAnsi="Palatino Linotype"/>
          <w:bCs/>
          <w:sz w:val="22"/>
          <w:szCs w:val="22"/>
          <w:lang w:val="en-ID"/>
        </w:rPr>
        <w:t>who discussed initiative, learning management, and decisions when encountering difficulties. They also complement</w:t>
      </w:r>
      <w:r w:rsidR="003C277B">
        <w:rPr>
          <w:rFonts w:ascii="Palatino Linotype" w:hAnsi="Palatino Linotype"/>
          <w:bCs/>
          <w:sz w:val="22"/>
          <w:szCs w:val="22"/>
          <w:lang w:val="en-ID"/>
        </w:rPr>
        <w:t xml:space="preserve"> </w:t>
      </w:r>
      <w:r w:rsidR="003C277B">
        <w:rPr>
          <w:rFonts w:ascii="Palatino Linotype" w:hAnsi="Palatino Linotype"/>
          <w:bCs/>
          <w:sz w:val="22"/>
          <w:szCs w:val="22"/>
          <w:lang w:val="en-ID"/>
        </w:rPr>
        <w:fldChar w:fldCharType="begin"/>
      </w:r>
      <w:r w:rsidR="003C277B">
        <w:rPr>
          <w:rFonts w:ascii="Palatino Linotype" w:hAnsi="Palatino Linotype"/>
          <w:bCs/>
          <w:sz w:val="22"/>
          <w:szCs w:val="22"/>
          <w:lang w:val="en-ID"/>
        </w:rPr>
        <w:instrText xml:space="preserve"> ADDIN ZOTERO_ITEM CSL_CITATION {"citationID":"gXp15tEF","properties":{"unsorted":false,"formattedCitation":"(Porub\\uc0\\u269{}anov\\uc0\\u225{} et al., 2026)","plainCitation":"(Porubčanová et al., 2026)","noteIndex":0},"citationItems":[{"id":3768,"uris":["http://zotero.org/users/local/XAaPoWI6/items/5AUDGJKF"],"itemData":{"id":3768,"type":"article-journal","abstract":"Positive education aims to support pupils’ development through participation, constructive relationships and meaningful learning, but opportunities for creativity must be distinguished from measured improvement. This exploratory documentary case study examines a nine-activity financial-literacy programme in a Slovak vocational-school residence. The analysis draws on 2024 activity descriptions, worksheet templates and practitioner reflections, separating intended procedures from recorded responses and implementation constraints. Seven fictional-household tasks addressed income, expenditure, savings goals and avoidable spending; two further tasks connected consumption estimates with household water and electricity readings. The documentation describes eight self-selected groups of four or five pupils and, separately, 28 volunteers for the utility activities; their overlap and the total number of unique participants are unknown. Fictional monthly household incomes ranged from €1,920 to €5,340 and expenditure from €925 to €2,850. Some additional-income ideas reflected vocational interests, while four groups left that task blank. Three pupils reportedly used online appliance information to construct electricity estimates. Only five of the 28 utility-task participants returned worksheets, a documented return ratio of 17.9%, with incomplete electricity information also reported. The material suggests a distinction between generating possibilities, checking feasibility and obtaining evidence. It does not establish gains in creativity, wellbeing or financial competence. An explicit generate–check–revise sequence is proposed for subsequent evaluation, with accessible alternatives to home-meter tasks and safeguards for privacy and voluntary participation. The study contributes a context-grounded account of educational opportunities and barriers rather than an effectiveness claim.","container-title":"Archives des sciences: a multidisciplinary journal","DOI":"10.68304/as/76304","issue":"3","journalAbbreviation":"Arch. Sci.","page":"26-34","source":"DOI.org (Crossref)","title":"Positive Education and Creative Financial Reasoning: An Exploratory Case Study in a Slovak Vocational-School Residence","title-short":"Positive Education and Creative Financial Reasoning","volume":"76","author":[{"family":"Porubčanová","given":"Dáša"},{"family":"Hanuliaková","given":"Jana"},{"family":"Trzeciak","given":"Dorota"}],"issued":{"date-parts":[["2026",9,30]]}}}],"schema":"https://github.com/citation-style-language/schema/raw/master/csl-citation.json"} </w:instrText>
      </w:r>
      <w:r w:rsidR="003C277B">
        <w:rPr>
          <w:rFonts w:ascii="Palatino Linotype" w:hAnsi="Palatino Linotype"/>
          <w:bCs/>
          <w:sz w:val="22"/>
          <w:szCs w:val="22"/>
          <w:lang w:val="en-ID"/>
        </w:rPr>
        <w:fldChar w:fldCharType="separate"/>
      </w:r>
      <w:r w:rsidR="003C277B" w:rsidRPr="003C277B">
        <w:rPr>
          <w:rFonts w:ascii="Palatino Linotype" w:eastAsiaTheme="minorHAnsi" w:hAnsi="Palatino Linotype"/>
          <w:sz w:val="22"/>
          <w:szCs w:val="24"/>
          <w:lang w:val="en-US"/>
        </w:rPr>
        <w:t>(Porubčanová et al., 2026)</w:t>
      </w:r>
      <w:r w:rsidR="003C277B">
        <w:rPr>
          <w:rFonts w:ascii="Palatino Linotype" w:hAnsi="Palatino Linotype"/>
          <w:bCs/>
          <w:sz w:val="22"/>
          <w:szCs w:val="22"/>
          <w:lang w:val="en-ID"/>
        </w:rPr>
        <w:fldChar w:fldCharType="end"/>
      </w:r>
      <w:r w:rsidRPr="00AD0A28">
        <w:rPr>
          <w:rFonts w:ascii="Palatino Linotype" w:hAnsi="Palatino Linotype"/>
          <w:bCs/>
          <w:sz w:val="22"/>
          <w:szCs w:val="22"/>
          <w:lang w:val="en-ID"/>
        </w:rPr>
        <w:t>, whose worksheet-development study addressed independent learning in a different educational context.</w:t>
      </w:r>
      <w:r w:rsidR="007D57B4">
        <w:rPr>
          <w:rFonts w:ascii="Palatino Linotype" w:hAnsi="Palatino Linotype"/>
          <w:bCs/>
          <w:sz w:val="22"/>
          <w:szCs w:val="22"/>
          <w:lang w:val="en-ID"/>
        </w:rPr>
        <w:t xml:space="preserve"> </w:t>
      </w:r>
      <w:r w:rsidRPr="00AD0A28">
        <w:rPr>
          <w:rFonts w:ascii="Palatino Linotype" w:hAnsi="Palatino Linotype"/>
          <w:bCs/>
          <w:sz w:val="22"/>
          <w:szCs w:val="22"/>
          <w:lang w:val="en-ID"/>
        </w:rPr>
        <w:t xml:space="preserve">The findings affirm that independence involves several connected </w:t>
      </w:r>
      <w:proofErr w:type="spellStart"/>
      <w:r w:rsidRPr="00AD0A28">
        <w:rPr>
          <w:rFonts w:ascii="Palatino Linotype" w:hAnsi="Palatino Linotype"/>
          <w:bCs/>
          <w:sz w:val="22"/>
          <w:szCs w:val="22"/>
          <w:lang w:val="en-ID"/>
        </w:rPr>
        <w:t>behaviors</w:t>
      </w:r>
      <w:proofErr w:type="spellEnd"/>
      <w:r w:rsidRPr="00AD0A28">
        <w:rPr>
          <w:rFonts w:ascii="Palatino Linotype" w:hAnsi="Palatino Linotype"/>
          <w:bCs/>
          <w:sz w:val="22"/>
          <w:szCs w:val="22"/>
          <w:lang w:val="en-ID"/>
        </w:rPr>
        <w:t>, while qualifying any interpretation that treats it as a uniform outcome of worksheet use. S6 and S10 sought assistance after attempting tasks themselves, showing that help-seeking can accompany independent effort. The relevant distinction is between requesting support after examining a difficulty and relying on others before making an initial attempt. The data describe these different forms of participation but do not establish individual improvement over time.</w:t>
      </w:r>
    </w:p>
    <w:p w14:paraId="54CF7A22" w14:textId="4793FB96" w:rsidR="00AD0A28" w:rsidRPr="00AD0A28" w:rsidRDefault="00AD0A28" w:rsidP="00AD0A28">
      <w:pPr>
        <w:spacing w:line="360" w:lineRule="auto"/>
        <w:contextualSpacing/>
        <w:jc w:val="both"/>
        <w:rPr>
          <w:rFonts w:ascii="Palatino Linotype" w:hAnsi="Palatino Linotype"/>
          <w:bCs/>
          <w:sz w:val="22"/>
          <w:szCs w:val="22"/>
          <w:lang w:val="en-ID"/>
        </w:rPr>
      </w:pPr>
      <w:r w:rsidRPr="007D57B4">
        <w:rPr>
          <w:rFonts w:ascii="Palatino Linotype" w:hAnsi="Palatino Linotype"/>
          <w:b/>
          <w:sz w:val="22"/>
          <w:szCs w:val="22"/>
          <w:lang w:val="en-ID"/>
        </w:rPr>
        <w:t>Teacher Guidance and School Support</w:t>
      </w:r>
    </w:p>
    <w:p w14:paraId="6547146B" w14:textId="6E0B83DE" w:rsidR="00AD0A28" w:rsidRPr="00AD0A28" w:rsidRDefault="00AD0A28" w:rsidP="007D57B4">
      <w:pPr>
        <w:spacing w:line="360" w:lineRule="auto"/>
        <w:ind w:firstLine="720"/>
        <w:contextualSpacing/>
        <w:jc w:val="both"/>
        <w:rPr>
          <w:rFonts w:ascii="Palatino Linotype" w:hAnsi="Palatino Linotype"/>
          <w:bCs/>
          <w:sz w:val="22"/>
          <w:szCs w:val="22"/>
          <w:lang w:val="en-ID"/>
        </w:rPr>
      </w:pPr>
      <w:r w:rsidRPr="00AD0A28">
        <w:rPr>
          <w:rFonts w:ascii="Palatino Linotype" w:hAnsi="Palatino Linotype"/>
          <w:bCs/>
          <w:sz w:val="22"/>
          <w:szCs w:val="22"/>
          <w:lang w:val="en-ID"/>
        </w:rPr>
        <w:t>G1 encouraged students to read and attempt tasks before asking for help, then used guiding questions when difficulties remained. WK similarly described the school’s expectation that students receive opportunities to work before being assisted. These findings indicate that independent work occurred within a supported learning process rather than through the withdrawal of teacher involvement.</w:t>
      </w:r>
      <w:r w:rsidR="007D57B4">
        <w:rPr>
          <w:rFonts w:ascii="Palatino Linotype" w:hAnsi="Palatino Linotype"/>
          <w:bCs/>
          <w:sz w:val="22"/>
          <w:szCs w:val="22"/>
          <w:lang w:val="en-ID"/>
        </w:rPr>
        <w:t xml:space="preserve"> </w:t>
      </w:r>
      <w:r w:rsidRPr="00AD0A28">
        <w:rPr>
          <w:rFonts w:ascii="Palatino Linotype" w:hAnsi="Palatino Linotype"/>
          <w:bCs/>
          <w:sz w:val="22"/>
          <w:szCs w:val="22"/>
          <w:lang w:val="en-ID"/>
        </w:rPr>
        <w:t xml:space="preserve">The concept of scaffolding helps explain this practice. Guidance can make a task </w:t>
      </w:r>
      <w:r w:rsidRPr="00AD0A28">
        <w:rPr>
          <w:rFonts w:ascii="Palatino Linotype" w:hAnsi="Palatino Linotype"/>
          <w:bCs/>
          <w:sz w:val="22"/>
          <w:szCs w:val="22"/>
          <w:lang w:val="en-ID"/>
        </w:rPr>
        <w:lastRenderedPageBreak/>
        <w:t>manageable while allowing students to retain responsibility for completing it. Asking students to revisit relevant content or consider a guiding question leaves part of the reasoning process with the learner. Such support may help hesitant students begin and enable those who have encountered difficulties to continue. However, the study did not document whether assistance was systematically reduced over time, so it cannot establish a complete progression toward unsupported performance.</w:t>
      </w:r>
    </w:p>
    <w:p w14:paraId="0CB8A9E5" w14:textId="4B7C4E9E" w:rsidR="007D57B4" w:rsidRDefault="00AD0A28" w:rsidP="00AD0A28">
      <w:pPr>
        <w:spacing w:line="360" w:lineRule="auto"/>
        <w:contextualSpacing/>
        <w:jc w:val="both"/>
        <w:rPr>
          <w:rFonts w:ascii="Palatino Linotype" w:hAnsi="Palatino Linotype"/>
          <w:bCs/>
          <w:sz w:val="22"/>
          <w:szCs w:val="22"/>
          <w:lang w:val="en-ID"/>
        </w:rPr>
      </w:pPr>
      <w:r w:rsidRPr="00AD0A28">
        <w:rPr>
          <w:rFonts w:ascii="Palatino Linotype" w:hAnsi="Palatino Linotype"/>
          <w:bCs/>
          <w:sz w:val="22"/>
          <w:szCs w:val="22"/>
          <w:lang w:val="en-ID"/>
        </w:rPr>
        <w:t xml:space="preserve">This interpretation is consistent </w:t>
      </w:r>
      <w:r w:rsidR="00B32057">
        <w:rPr>
          <w:rFonts w:ascii="Palatino Linotype" w:hAnsi="Palatino Linotype"/>
          <w:bCs/>
          <w:sz w:val="22"/>
          <w:szCs w:val="22"/>
          <w:lang w:val="en-ID"/>
        </w:rPr>
        <w:fldChar w:fldCharType="begin"/>
      </w:r>
      <w:r w:rsidR="00B32057">
        <w:rPr>
          <w:rFonts w:ascii="Palatino Linotype" w:hAnsi="Palatino Linotype"/>
          <w:bCs/>
          <w:sz w:val="22"/>
          <w:szCs w:val="22"/>
          <w:lang w:val="en-ID"/>
        </w:rPr>
        <w:instrText xml:space="preserve"> ADDIN ZOTERO_ITEM CSL_CITATION {"citationID":"cagGWq19","properties":{"unsorted":false,"formattedCitation":"(Iqbal et al., 2026)","plainCitation":"(Iqbal et al., 2026)","noteIndex":0},"citationItems":[{"id":3770,"uris":["http://zotero.org/users/local/XAaPoWI6/items/TZVLFA73"],"itemData":{"id":3770,"type":"article-journal","abstract":"The environments in which children grow, both immediate and broader, are crucial to their learning and development (Hayes et al., 2022; Bronfenbrenner &amp; Morris, 2006). Robust evidence exists that Early Childhood Eduaction positively influences both cognitive and non-cognitive skills of young children (Behrman, 2017; Lindström et al., 2021; Behrman et al., 2013; Alfonso et al., 2023; Rao et al., 2022). According to UNESCO's (2023) definition, Early Childhood Care and Education (ECCE), envisages the period from birth to 8 years, it is significant because that particular time of human development is considered as the optimal period of growth and development. Wood-head, (2002) also emphasized that exposure to educational settings and experiences gained during this age tend to have social and economic returns far more than anything else. It is further endorsed that high-quality Early Childhood Education (ECE) and developmental experiences profit by a time of rich mental health for youngsters and, can assist them with accomplishing their maximum capacity. Schweinhart &amp; Weikart (1981) and Sylva et.al., (2006) also proved that the provision of high-quality ECE establishes the groundwork for happy and healthy start to formal schooling leading to achievements and efficiency throughout life (Yousafzai, 2013). For this purpose, the researchers conducted a study to know the requirement of pre-service teachers' training for ECE in light of Pakistan’s National Curriculum for ECE (2017) to find appropriate approaches to support ECE can benefit Pakistan's education system in particular and other parts of the world in general. The study utilized a mixedmethod sequential explanatory research design. Three research instruments (a questionnaire, focus group discussion, and conceptual content analysis of the ECE curriculum) were used to achieve the objectives. Vygotsky's theory guided this research study to holistically assess the need for ECE teacher education from person to interactional units, such as parents, children, teachers, and siblings. Data from the questionnaire was analyzed using the Pearson chi-square test. Thematic analysis was used to understand the perception acquired during the focus group discussion. In addition, conceptual content analysis of the ECE curriculum was conducted to establish the main areas of learning for ECE teachers. This study’s results suggest that early childhood educators in training require sound preparation on how they would deliver suitable classroom instructions as provided by the critical learning areas underlined in the ECE curriculum. A suggestion made by this research is that early child hood education (ECE) pre-service teacher training programs have to consider better child development strategies and personal developmental components and apply developmentally appropriate activities. The study concludes by informing the reader that a comprehensive ECE curriculum is vital and that teacher educators must always observe pre-service teachers during their teaching practice. Proper supervision and long stretches of teaching experience are necessary. Institutions offering pre-service ECE training can empower novice teachers by creating learning books for reading, science, home, maths, art and other subjects. Good lesson plans should have Learning Objectives (Los), competencies, Key Learning Areas (KLAs), classroom layout as well as child-initiated activities. Resources such as child-oriented worksheets, media in print and electronic formats, and clear children’s literature about rubric explanations on how to write rules and guidelines for instructions on social-emotional development among children are considered valuable materials to use in the process. To develop a strategic framework for ECE teacher education reforms as well as provide a better training model for trainee teachers more studies are needed.","container-title":"Journal of Law &amp; Social Studies","DOI":"10.52279/jlss.08.01.96105","ISSN":"27096270, 27092283","issue":"1","journalAbbreviation":"JLSS","page":"96-105","source":"DOI.org (Crossref)","title":"Quality of Teacher Education: Need Assessment of Early Childhood Pre-Service Teacher Education in Pakistan","title-short":"Quality of Teacher Education","volume":"8","author":[{"family":"Iqbal","given":"Sadaf"},{"family":"Naz","given":"Sadaf"},{"family":"Noman","given":"Noor Ul Ain"}],"issued":{"date-parts":[["2026",3,31]]}}}],"schema":"https://github.com/citation-style-language/schema/raw/master/csl-citation.json"} </w:instrText>
      </w:r>
      <w:r w:rsidR="00B32057">
        <w:rPr>
          <w:rFonts w:ascii="Palatino Linotype" w:hAnsi="Palatino Linotype"/>
          <w:bCs/>
          <w:sz w:val="22"/>
          <w:szCs w:val="22"/>
          <w:lang w:val="en-ID"/>
        </w:rPr>
        <w:fldChar w:fldCharType="separate"/>
      </w:r>
      <w:r w:rsidR="00B32057">
        <w:rPr>
          <w:rFonts w:ascii="Palatino Linotype" w:hAnsi="Palatino Linotype"/>
          <w:bCs/>
          <w:noProof/>
          <w:sz w:val="22"/>
          <w:szCs w:val="22"/>
          <w:lang w:val="en-ID"/>
        </w:rPr>
        <w:t>(Iqbal et al., 2026)</w:t>
      </w:r>
      <w:r w:rsidR="00B32057">
        <w:rPr>
          <w:rFonts w:ascii="Palatino Linotype" w:hAnsi="Palatino Linotype"/>
          <w:bCs/>
          <w:sz w:val="22"/>
          <w:szCs w:val="22"/>
          <w:lang w:val="en-ID"/>
        </w:rPr>
        <w:fldChar w:fldCharType="end"/>
      </w:r>
      <w:r w:rsidR="00B32057">
        <w:rPr>
          <w:rFonts w:ascii="Palatino Linotype" w:hAnsi="Palatino Linotype"/>
          <w:bCs/>
          <w:sz w:val="22"/>
          <w:szCs w:val="22"/>
          <w:lang w:val="en-ID"/>
        </w:rPr>
        <w:t xml:space="preserve"> </w:t>
      </w:r>
      <w:r w:rsidRPr="00AD0A28">
        <w:rPr>
          <w:rFonts w:ascii="Palatino Linotype" w:hAnsi="Palatino Linotype"/>
          <w:bCs/>
          <w:sz w:val="22"/>
          <w:szCs w:val="22"/>
          <w:lang w:val="en-ID"/>
        </w:rPr>
        <w:t>who emphasized teacher facilitation, and</w:t>
      </w:r>
      <w:r w:rsidR="00B32057">
        <w:rPr>
          <w:rFonts w:ascii="Palatino Linotype" w:hAnsi="Palatino Linotype"/>
          <w:bCs/>
          <w:sz w:val="22"/>
          <w:szCs w:val="22"/>
          <w:lang w:val="en-ID"/>
        </w:rPr>
        <w:fldChar w:fldCharType="begin"/>
      </w:r>
      <w:r w:rsidR="00B32057">
        <w:rPr>
          <w:rFonts w:ascii="Palatino Linotype" w:hAnsi="Palatino Linotype"/>
          <w:bCs/>
          <w:sz w:val="22"/>
          <w:szCs w:val="22"/>
          <w:lang w:val="en-ID"/>
        </w:rPr>
        <w:instrText xml:space="preserve"> ADDIN ZOTERO_ITEM CSL_CITATION {"citationID":"pUV1CnHw","properties":{"unsorted":false,"formattedCitation":"(Avedzi, 2025)","plainCitation":"(Avedzi, 2025)","noteIndex":0},"citationItems":[{"id":3771,"uris":["http://zotero.org/users/local/XAaPoWI6/items/WYJAXAG6"],"itemData":{"id":3771,"type":"article","abstract":"Abstract\n          This study examines the impact of educational technology on teaching practices, learner engagement, and academic performance in Ghanaian basic schools. A quantitative descriptive survey was conducted with 300 teachers from six public schools across three regions, selected for varying ICT infrastructure levels. Data were analyzed using one-way ANOVA, Pearson correlation, and linear regression. Results revealed no significant difference in teaching practices between teachers with and without technology training (p = .928), suggesting that training alone does not ensure instructional change. However, technology use showed a strong positive correlation with learner engagement (r = .881, p &lt; .01), and access to educational technology significantly predicted academic performance (β = .881, p &lt; .001). The findings highlight the need for continuous teacher professional development, equitable ICT infrastructure provision, and culturally relevant digital content to fully realize technology’s transformative potential in Ghana’s basic education.\nBackground\nOver the past two decades, the global education landscape has undergone a profound transformation driven by the integration of digital technologies. Across high-, middle-, and low-income contexts, educational institutions have increasingly embraced information and communication technologies (ICTs) to enrich pedagogical practices, expand access to learning resources, and support personalized learning experiences. In developed countries, digital tools such as virtual classrooms, learning management systems, artificial intelligence, and mobile applications are now integral components of the 21st-century classroom (UNESCO, 2022). These innovations are not merely enhancements to traditional education systems; they are catalysts for systemic change. The (World Economic Forum, 2023) asserts that emerging technologies are reshaping the core architecture of education by influencing curriculum design, redefining teacher roles, and setting new benchmarks for digital competence. Case studies from Finland and Singapore illustrate the impact of sustained investments in educational technology, where purposeful ICT integration has led to improved literacy, numeracy, student engagement, and more equitable access to quality learning opportunities (Sahlberg, 2021; OECD, 2021).\nIn Sub-Saharan Africa, the drive toward educational digitalization has gained traction through support from national governments, multilateral organizations, and international donors. The African Union’s Continental Education Strategy for Africa 2016–2025 (CESA 2016–2025) frames ICT as a transformative force capable of addressing entrenched systemic issues, including teacher shortages, inadequate instructional materials, and infrastructure gaps (African Union, 2016). Countries such as Rwanda, Kenya, and South Africa have implemented large-scale ICT initiatives targeting the basic education sector. Moreover, the World Bank’s Digital Economy for Africa (DE4A) initiative seeks to promote inclusive digital growth by enhancing broadband access, fostering digital literacy, and supporting the deployment of edtech infrastructure across the continent (World Economic Forum, 2023). However, these efforts are often constrained by persistent challenges: unreliable electricity, limited internet connectivity, a scarcity of culturally relevant digital content, and insufficient teacher training (Tadesse &amp; Gillies, 2021; Trucano, 2016). Kenya’s flagship laptop initiative, for instance, encountered logistical and technical setbacks that hindered its effectiveness (Wainaina, 2022), while in Nigeria, structural disparities in mobile access and internet affordability continue to marginalize students in rural and low-income communities (Olumorin et al., 2021). These realities reinforce the importance of context-sensitive strategies for sustainable ICT integration in African schools.\nIn Ghana, the integration of technology into education has been shaped by several policy frameworks, including the ICT in (Ministry of Education, 2015), the Education Strategic Plan (2018–2030), and the Ghana Accountability for Learning Outcomes Project (GALOP). These documents emphasize the use of digital tools to promote equity, enhance teaching and learning quality, and equip learners and educators with relevant 21st-century skills (Ministry of Education, 2018). Through collaborations with development partners such as the World Bank and UNICEF, the Ministry of Education has initiated interventions including the distribution of tablets and laptops to basic schools, the establishment of ICT laboratories, and the rollout of digital literacy programs. Nevertheless, implementation has been inconsistent. Urban schools in regions like Greater Accra and Ashanti often benefit from better digital infrastructure compared to rural or peri-urban schools, where access to electricity, internet, and digital devices remains limited (Anamuah-Mensah, 2021). A nationwide audit by the Ghana Education Service (GES) in 2021 found that only 18% of public basic schools had a trained ICT teacher, and fewer than 30% had consistent access to the internet (Ghana Education Service, 2021b). Compounding this disparity is the lack of teacher readiness: many educators report inadequate training in digital pedagogy, resulting in underutilization of available technologies (Nti, 2020).\nAt the classroom level, the use of educational technology in Ghanaian basic schools has shown a mix of potential and limitations. On the positive side, studies indicate that digital tools, such as animations, interactive simulations, and educational games, can enhance student motivation, sustain attention, and improve conceptual understanding, particularly in science and mathematics education (Asabere et al., 2017; Boafo et al., 2024). On the other hand, many teachers continue to face difficulties in selecting appropriate ICT resources and integrating them effectively into lesson delivery, largely due to insufficient professional development and lack of institutional support (Nti, 2020). The COVID-19 pandemic further exposed the fragility of the digital learning ecosystem in Ghana. While the Ministry of Education introduced Ghana Learning TV and educational radio programs to facilitate remote learning during school closures, these platforms were largely passive and non-interactive, limiting their effectiveness for foundational learners (UNICEF Ghana, 2021). For thousands of students, especially those in underserved areas without electricity, internet, or smart devices, the disruption to physical schooling translated into significant learning losses and widened existing inequalities.\nThese conditions highlight the urgency of embedding ICT into the Ghanaian classroom in a more deliberate, equitable, and pedagogically sound manner. Beyond policy pronouncements and pilot projects, there is a need for robust, empirical evidence on how digital technologies are shaping instructional practices, influencing learner engagement, and impacting academic achievement in real-world classroom contexts. This study responds to that need by systematically assessing the transformative impact of educational technology in Ghanaian basic school classrooms. Specifically, it investigates how technology integration affects teaching methods, learner participation, and academic performance, with a focus on bridging policy and practice in the context of basic education in Ghana.","DOI":"10.21203/rs.3.rs-7330474/v1","license":"https://creativecommons.org/licenses/by/4.0/","publisher":"In Review","source":"DOI.org (Crossref)","title":"Educational Technology, Teaching Practices, and Learning Outcomes in Sub-Saharan Africa: Empirical Insights from Ghana’s Basic Education Classrooms","title-short":"Educational Technology, Teaching Practices, and Learning Outcomes in Sub-Saharan Africa","URL":"https://www.researchsquare.com/article/rs-7330474/v1","author":[{"family":"Avedzi","given":"John Edem"}],"accessed":{"date-parts":[["2026",10,10]]},"issued":{"date-parts":[["2025",8,12]]}}}],"schema":"https://github.com/citation-style-language/schema/raw/master/csl-citation.json"} </w:instrText>
      </w:r>
      <w:r w:rsidR="00B32057">
        <w:rPr>
          <w:rFonts w:ascii="Palatino Linotype" w:hAnsi="Palatino Linotype"/>
          <w:bCs/>
          <w:sz w:val="22"/>
          <w:szCs w:val="22"/>
          <w:lang w:val="en-ID"/>
        </w:rPr>
        <w:fldChar w:fldCharType="separate"/>
      </w:r>
      <w:r w:rsidR="00B32057">
        <w:rPr>
          <w:rFonts w:ascii="Palatino Linotype" w:hAnsi="Palatino Linotype"/>
          <w:bCs/>
          <w:noProof/>
          <w:sz w:val="22"/>
          <w:szCs w:val="22"/>
          <w:lang w:val="en-ID"/>
        </w:rPr>
        <w:t>(Avedzi, 2025)</w:t>
      </w:r>
      <w:r w:rsidR="00B32057">
        <w:rPr>
          <w:rFonts w:ascii="Palatino Linotype" w:hAnsi="Palatino Linotype"/>
          <w:bCs/>
          <w:sz w:val="22"/>
          <w:szCs w:val="22"/>
          <w:lang w:val="en-ID"/>
        </w:rPr>
        <w:fldChar w:fldCharType="end"/>
      </w:r>
      <w:r w:rsidRPr="00AD0A28">
        <w:rPr>
          <w:rFonts w:ascii="Palatino Linotype" w:hAnsi="Palatino Linotype"/>
          <w:bCs/>
          <w:sz w:val="22"/>
          <w:szCs w:val="22"/>
          <w:lang w:val="en-ID"/>
        </w:rPr>
        <w:t>, who highlighted teachers’ roles in creating learner-</w:t>
      </w:r>
      <w:proofErr w:type="spellStart"/>
      <w:r w:rsidRPr="00AD0A28">
        <w:rPr>
          <w:rFonts w:ascii="Palatino Linotype" w:hAnsi="Palatino Linotype"/>
          <w:bCs/>
          <w:sz w:val="22"/>
          <w:szCs w:val="22"/>
          <w:lang w:val="en-ID"/>
        </w:rPr>
        <w:t>centered</w:t>
      </w:r>
      <w:proofErr w:type="spellEnd"/>
      <w:r w:rsidRPr="00AD0A28">
        <w:rPr>
          <w:rFonts w:ascii="Palatino Linotype" w:hAnsi="Palatino Linotype"/>
          <w:bCs/>
          <w:sz w:val="22"/>
          <w:szCs w:val="22"/>
          <w:lang w:val="en-ID"/>
        </w:rPr>
        <w:t xml:space="preserve"> conditions. It also relates to </w:t>
      </w:r>
      <w:r w:rsidR="00B32057">
        <w:rPr>
          <w:rFonts w:ascii="Palatino Linotype" w:hAnsi="Palatino Linotype"/>
          <w:bCs/>
          <w:sz w:val="22"/>
          <w:szCs w:val="22"/>
          <w:lang w:val="en-ID"/>
        </w:rPr>
        <w:fldChar w:fldCharType="begin"/>
      </w:r>
      <w:r w:rsidR="00B32057">
        <w:rPr>
          <w:rFonts w:ascii="Palatino Linotype" w:hAnsi="Palatino Linotype"/>
          <w:bCs/>
          <w:sz w:val="22"/>
          <w:szCs w:val="22"/>
          <w:lang w:val="en-ID"/>
        </w:rPr>
        <w:instrText xml:space="preserve"> ADDIN ZOTERO_ITEM CSL_CITATION {"citationID":"rLIE1WOM","properties":{"unsorted":false,"formattedCitation":"(Nurdianah et al., 2026)","plainCitation":"(Nurdianah et al., 2026)","noteIndex":0},"citationItems":[{"id":3773,"uris":["http://zotero.org/users/local/XAaPoWI6/items/ZL9M9J3P"],"itemData":{"id":3773,"type":"article-journal","abstract":"Penelitian ini menganalisis keterlaksanaan model pembelajaran Discovery Learning dalam mata pelajaran Ilmu Pengetahuan Alam dan Sosial (IPAS) di Kelas V UPT SPF SD Negeri Parinring Kota Makassar. Menggunakan pendekatan kualitatif deskriptif dengan desain studi kasus instrumental, penelitian melibatkan satu guru dan tujuh peserta didik sebagai informan. Data dikumpulkan melalui observasi partisipan, wawancara mendalam, dan analisis dokumen, kemudian dianalisis dengan teknik reduksi data, penyajian data, dan verifikasi kesimpulan. Hasil menunjukkan penerapan enam fase Discovery Learning (stimulus, klarifikasi masalah, pengumpulan data, pengolahan data, verifikasi, dan generalisasi) mengalami peningkatan konsistensi pada tiga pertemuan berurutan. Pada pertemuan III, seluruh indikator aktivitas guru (16 aspek) terpenuhi dengan kategori \"Sangat Baik\", diikuti peningkatan partisipasi aktif siswa menjadi 86,66% dan ketuntasan klasikal 80,94%. Faktor kunci keberhasilan meliputi pendampingan diferensiasi berbasis LKPD bertingkat, pemanfaatan sumber daya lokal, dan pelatihan scaffolding guru. Implikasi teoretis memperkuat konstruktivisme Bruner (1961) dalam konteks sekolah marjinal, sementara implikasi praktis menghasilkan protokol implementasi model adaptif untuk daerah terbatas sumber daya. Simpulan membuktikan model ini efektif mentransformasi pembelajaran teacher-centered menjadi student-centered serta meningkatkan literasi sains melalui penguatan keterampilan bertanya ilmiah (45%), penalaran kausal (52%), dan analisis fenomena IPAS (65%).\nThis study analyzes the implementation of the Discovery Learning model in Natural and Social Sciences (IPAS) for Grade V students at UPT SPF SD Negeri Parinring, Makassar City. Employing a descriptive qualitative approach with an instrumental case study design, the research involved one teacher and seven students as informants. Data were collected through participant observation, in-depth interviews, and document analysis, then processed via data reduction, data display, and conclusion verification. Results indicate consistent improvement across three sequential meetings in executing the six phases of Discovery Learning (stimulus, problem clarification, data collection, data processing, verification, and generalization). By Meeting III, all teacher activity indicators (16 aspects) were fully implemented with an \"Excellent\" rating, alongside increased active student participation (86.66%) and classical mastery (80.94%). Critical success factors included differentiated guidance using tiered worksheets, optimization of local resources, and teacher scaffolding training. Theoretically, the findings reinforce Bruner’s constructivism (1961) in marginal school contexts, while practical implications yield an adaptive implementation protocol for resource-limited settings. The model effectively transformed teacher-centered into student-centered learning, enhancing scientific literacy through improved scientific questioning (45%), causal reasoning (52%), and analysis of science phenomena (65%). The study confirms the efficacy of Discovery Learning in overcoming conceptual gaps and recommends its integration into curriculum assistance programs for high-cost index regions.","container-title":"Bosowa Journal of Education","DOI":"10.35965/bje.v6i2.6143","ISSN":"2808-4861, 2808-5515","issue":"2","journalAbbreviation":"edu","license":"https://creativecommons.org/licenses/by/4.0","page":"629-637","source":"DOI.org (Crossref)","title":"Analisis Model Pembelajaran Discovery Learning Dalam Pembelajaran IPAS Di Kelas V UPT SPF SD Negeri Parinring Kota Makassar","volume":"6","author":[{"family":"Nurdianah","given":"Nurdianah"},{"family":"Bakri","given":"Muhammad"},{"family":"Burhan","given":"Burhan"}],"issued":{"date-parts":[["2026",6,30]]}}}],"schema":"https://github.com/citation-style-language/schema/raw/master/csl-citation.json"} </w:instrText>
      </w:r>
      <w:r w:rsidR="00B32057">
        <w:rPr>
          <w:rFonts w:ascii="Palatino Linotype" w:hAnsi="Palatino Linotype"/>
          <w:bCs/>
          <w:sz w:val="22"/>
          <w:szCs w:val="22"/>
          <w:lang w:val="en-ID"/>
        </w:rPr>
        <w:fldChar w:fldCharType="separate"/>
      </w:r>
      <w:r w:rsidR="00B32057">
        <w:rPr>
          <w:rFonts w:ascii="Palatino Linotype" w:hAnsi="Palatino Linotype"/>
          <w:bCs/>
          <w:noProof/>
          <w:sz w:val="22"/>
          <w:szCs w:val="22"/>
          <w:lang w:val="en-ID"/>
        </w:rPr>
        <w:t>(Nurdianah et al., 2026)</w:t>
      </w:r>
      <w:r w:rsidR="00B32057">
        <w:rPr>
          <w:rFonts w:ascii="Palatino Linotype" w:hAnsi="Palatino Linotype"/>
          <w:bCs/>
          <w:sz w:val="22"/>
          <w:szCs w:val="22"/>
          <w:lang w:val="en-ID"/>
        </w:rPr>
        <w:fldChar w:fldCharType="end"/>
      </w:r>
      <w:r w:rsidR="00B32057">
        <w:rPr>
          <w:rFonts w:ascii="Palatino Linotype" w:hAnsi="Palatino Linotype"/>
          <w:bCs/>
          <w:sz w:val="22"/>
          <w:szCs w:val="22"/>
          <w:lang w:val="en-ID"/>
        </w:rPr>
        <w:t xml:space="preserve"> </w:t>
      </w:r>
      <w:r w:rsidRPr="00AD0A28">
        <w:rPr>
          <w:rFonts w:ascii="Palatino Linotype" w:hAnsi="Palatino Linotype"/>
          <w:bCs/>
          <w:sz w:val="22"/>
          <w:szCs w:val="22"/>
          <w:lang w:val="en-ID"/>
        </w:rPr>
        <w:t>who discussed worksheets as resources for independent learning with teacher guidance.</w:t>
      </w:r>
    </w:p>
    <w:p w14:paraId="2B76C6C1" w14:textId="7A7C46E5" w:rsidR="00AD0A28" w:rsidRPr="00AD0A28" w:rsidRDefault="00AD0A28" w:rsidP="007D57B4">
      <w:pPr>
        <w:spacing w:line="360" w:lineRule="auto"/>
        <w:ind w:firstLine="720"/>
        <w:contextualSpacing/>
        <w:jc w:val="both"/>
        <w:rPr>
          <w:rFonts w:ascii="Palatino Linotype" w:hAnsi="Palatino Linotype"/>
          <w:bCs/>
          <w:sz w:val="22"/>
          <w:szCs w:val="22"/>
          <w:lang w:val="en-ID"/>
        </w:rPr>
      </w:pPr>
      <w:r w:rsidRPr="00AD0A28">
        <w:rPr>
          <w:rFonts w:ascii="Palatino Linotype" w:hAnsi="Palatino Linotype"/>
          <w:bCs/>
          <w:sz w:val="22"/>
          <w:szCs w:val="22"/>
          <w:lang w:val="en-ID"/>
        </w:rPr>
        <w:t>The present findings affirm the importance of facilitation while challenging the assumption that independence requires students to work without assistance. Guidance and independence can coexist when support encourages students to undertake the next step themselves. School support provides a basis for this practice, although WK’s account represents an institutional expectation rather than evidence of consistent implementation across classrooms.</w:t>
      </w:r>
    </w:p>
    <w:p w14:paraId="06B39589" w14:textId="3500F661" w:rsidR="00AD0A28" w:rsidRPr="007D57B4" w:rsidRDefault="00AD0A28" w:rsidP="00AD0A28">
      <w:pPr>
        <w:spacing w:line="360" w:lineRule="auto"/>
        <w:contextualSpacing/>
        <w:jc w:val="both"/>
        <w:rPr>
          <w:rFonts w:ascii="Palatino Linotype" w:hAnsi="Palatino Linotype"/>
          <w:b/>
          <w:sz w:val="22"/>
          <w:szCs w:val="22"/>
          <w:lang w:val="en-ID"/>
        </w:rPr>
      </w:pPr>
      <w:r w:rsidRPr="007D57B4">
        <w:rPr>
          <w:rFonts w:ascii="Palatino Linotype" w:hAnsi="Palatino Linotype"/>
          <w:b/>
          <w:sz w:val="22"/>
          <w:szCs w:val="22"/>
          <w:lang w:val="en-ID"/>
        </w:rPr>
        <w:t>Supporting and Inhibiting Factors</w:t>
      </w:r>
    </w:p>
    <w:p w14:paraId="0CB9CDD3" w14:textId="1377513C" w:rsidR="007D57B4" w:rsidRDefault="00AD0A28" w:rsidP="00A43901">
      <w:pPr>
        <w:spacing w:line="360" w:lineRule="auto"/>
        <w:ind w:firstLine="720"/>
        <w:contextualSpacing/>
        <w:jc w:val="both"/>
        <w:rPr>
          <w:rFonts w:ascii="Palatino Linotype" w:hAnsi="Palatino Linotype"/>
          <w:bCs/>
          <w:sz w:val="22"/>
          <w:szCs w:val="22"/>
          <w:lang w:val="en-ID"/>
        </w:rPr>
      </w:pPr>
      <w:r w:rsidRPr="00AD0A28">
        <w:rPr>
          <w:rFonts w:ascii="Palatino Linotype" w:hAnsi="Palatino Linotype"/>
          <w:bCs/>
          <w:sz w:val="22"/>
          <w:szCs w:val="22"/>
          <w:lang w:val="en-ID"/>
        </w:rPr>
        <w:t xml:space="preserve">Participants identified </w:t>
      </w:r>
      <w:r w:rsidR="00650B5D">
        <w:rPr>
          <w:rFonts w:ascii="Palatino Linotype" w:hAnsi="Palatino Linotype"/>
          <w:bCs/>
          <w:sz w:val="22"/>
          <w:szCs w:val="22"/>
          <w:lang w:val="en-ID"/>
        </w:rPr>
        <w:t>the</w:t>
      </w:r>
      <w:r w:rsidRPr="00AD0A28">
        <w:rPr>
          <w:rFonts w:ascii="Palatino Linotype" w:hAnsi="Palatino Linotype"/>
          <w:bCs/>
          <w:sz w:val="22"/>
          <w:szCs w:val="22"/>
          <w:lang w:val="en-ID"/>
        </w:rPr>
        <w:t xml:space="preserve"> availability</w:t>
      </w:r>
      <w:r w:rsidR="00650B5D">
        <w:rPr>
          <w:rFonts w:ascii="Palatino Linotype" w:hAnsi="Palatino Linotype"/>
          <w:bCs/>
          <w:sz w:val="22"/>
          <w:szCs w:val="22"/>
          <w:lang w:val="en-ID"/>
        </w:rPr>
        <w:t xml:space="preserve"> of worksheets</w:t>
      </w:r>
      <w:r w:rsidRPr="00AD0A28">
        <w:rPr>
          <w:rFonts w:ascii="Palatino Linotype" w:hAnsi="Palatino Linotype"/>
          <w:bCs/>
          <w:sz w:val="22"/>
          <w:szCs w:val="22"/>
          <w:lang w:val="en-ID"/>
        </w:rPr>
        <w:t>, understandable instructions, teacher guidance, willingness to learn, and a conducive classroom atmosphere as supporting factors. Reported difficulties included differences in understanding, limited confidence, waiting for explanations, and mismatches between worksheet content and questions. These findings suggest that independence was shaped by interacting conditions rather than by worksheet availability alone</w:t>
      </w:r>
      <w:r w:rsidR="00A43901">
        <w:rPr>
          <w:rFonts w:ascii="Palatino Linotype" w:hAnsi="Palatino Linotype"/>
          <w:bCs/>
          <w:sz w:val="22"/>
          <w:szCs w:val="22"/>
          <w:lang w:val="en-ID"/>
        </w:rPr>
        <w:t xml:space="preserve"> </w:t>
      </w:r>
      <w:r w:rsidR="00A43901">
        <w:rPr>
          <w:rFonts w:ascii="Palatino Linotype" w:hAnsi="Palatino Linotype"/>
          <w:bCs/>
          <w:sz w:val="22"/>
          <w:szCs w:val="22"/>
          <w:lang w:val="en-ID"/>
        </w:rPr>
        <w:fldChar w:fldCharType="begin"/>
      </w:r>
      <w:r w:rsidR="00A43901">
        <w:rPr>
          <w:rFonts w:ascii="Palatino Linotype" w:hAnsi="Palatino Linotype"/>
          <w:bCs/>
          <w:sz w:val="22"/>
          <w:szCs w:val="22"/>
          <w:lang w:val="en-ID"/>
        </w:rPr>
        <w:instrText xml:space="preserve"> ADDIN ZOTERO_ITEM CSL_CITATION {"citationID":"rkcrdKEY","properties":{"unsorted":false,"formattedCitation":"(Judijanto et al., 2024)","plainCitation":"(Judijanto et al., 2024)","noteIndex":0},"citationItems":[{"id":3747,"uris":["http://zotero.org/users/local/XAaPoWI6/items/C2CKH775"],"itemData":{"id":3747,"type":"article-journal","abstract":"This article discusses the dilemma faced by teachers in the face of endless curriculum changes. Constant changes in education standards require teachers to be adaptive and innovative, although they often lack adequate training and support. This difficulty highlights the importance of approaches involving professional capacity building, collaboration between teachers and psychosocial support to help teachers navigate these challenges. With the right strategies, it is hoped that teachers will be more competent and motivated to implement the new curriculum, resulting in significantly improved learning quality and student achievement.","container-title":"Jurnal Ilmiah Edukatif","DOI":"10.37567/jie.v10i2.3311","ISSN":"2745-4681","issue":"2","journalAbbreviation":"JIE","page":"201-211","source":"DOI.org (Crossref)","title":"Teacher's Dilemma: Facing Endless Curriculum Changes","title-short":"Teacher's Dilemma","volume":"10","author":[{"family":"Judijanto","given":"Loso"},{"family":"Sidabutar","given":"Hudson"},{"family":"IKansil","given":"melda Christine"}],"issued":{"date-parts":[["2024",11,15]]}}}],"schema":"https://github.com/citation-style-language/schema/raw/master/csl-citation.json"} </w:instrText>
      </w:r>
      <w:r w:rsidR="00A43901">
        <w:rPr>
          <w:rFonts w:ascii="Palatino Linotype" w:hAnsi="Palatino Linotype"/>
          <w:bCs/>
          <w:sz w:val="22"/>
          <w:szCs w:val="22"/>
          <w:lang w:val="en-ID"/>
        </w:rPr>
        <w:fldChar w:fldCharType="separate"/>
      </w:r>
      <w:r w:rsidR="00A43901">
        <w:rPr>
          <w:rFonts w:ascii="Palatino Linotype" w:hAnsi="Palatino Linotype"/>
          <w:bCs/>
          <w:noProof/>
          <w:sz w:val="22"/>
          <w:szCs w:val="22"/>
          <w:lang w:val="en-ID"/>
        </w:rPr>
        <w:t>(Judijanto et al., 2024)</w:t>
      </w:r>
      <w:r w:rsidR="00A43901">
        <w:rPr>
          <w:rFonts w:ascii="Palatino Linotype" w:hAnsi="Palatino Linotype"/>
          <w:bCs/>
          <w:sz w:val="22"/>
          <w:szCs w:val="22"/>
          <w:lang w:val="en-ID"/>
        </w:rPr>
        <w:fldChar w:fldCharType="end"/>
      </w:r>
      <w:r w:rsidRPr="00AD0A28">
        <w:rPr>
          <w:rFonts w:ascii="Palatino Linotype" w:hAnsi="Palatino Linotype"/>
          <w:bCs/>
          <w:sz w:val="22"/>
          <w:szCs w:val="22"/>
          <w:lang w:val="en-ID"/>
        </w:rPr>
        <w:t>.</w:t>
      </w:r>
      <w:r w:rsidR="00A43901">
        <w:rPr>
          <w:rFonts w:ascii="Palatino Linotype" w:hAnsi="Palatino Linotype"/>
          <w:bCs/>
          <w:sz w:val="22"/>
          <w:szCs w:val="22"/>
          <w:lang w:val="en-ID"/>
        </w:rPr>
        <w:t xml:space="preserve"> </w:t>
      </w:r>
      <w:r w:rsidRPr="00AD0A28">
        <w:rPr>
          <w:rFonts w:ascii="Palatino Linotype" w:hAnsi="Palatino Linotype"/>
          <w:bCs/>
          <w:sz w:val="22"/>
          <w:szCs w:val="22"/>
          <w:lang w:val="en-ID"/>
        </w:rPr>
        <w:t>From a self-regulated learning perspective, students’ efforts operate within the demands and resources of their learning environment. Clear instructions help students identify the required action, relevant content supports their search for answers, and teacher guidance assists them when their existing understanding is insufficient</w:t>
      </w:r>
      <w:r w:rsidR="00A43901">
        <w:rPr>
          <w:rFonts w:ascii="Palatino Linotype" w:hAnsi="Palatino Linotype"/>
          <w:bCs/>
          <w:sz w:val="22"/>
          <w:szCs w:val="22"/>
          <w:lang w:val="en-ID"/>
        </w:rPr>
        <w:t xml:space="preserve"> </w:t>
      </w:r>
      <w:r w:rsidR="00A43901">
        <w:rPr>
          <w:rFonts w:ascii="Palatino Linotype" w:hAnsi="Palatino Linotype"/>
          <w:bCs/>
          <w:sz w:val="22"/>
          <w:szCs w:val="22"/>
          <w:lang w:val="en-ID"/>
        </w:rPr>
        <w:fldChar w:fldCharType="begin"/>
      </w:r>
      <w:r w:rsidR="00A43901">
        <w:rPr>
          <w:rFonts w:ascii="Palatino Linotype" w:hAnsi="Palatino Linotype"/>
          <w:bCs/>
          <w:sz w:val="22"/>
          <w:szCs w:val="22"/>
          <w:lang w:val="en-ID"/>
        </w:rPr>
        <w:instrText xml:space="preserve"> ADDIN ZOTERO_ITEM CSL_CITATION {"citationID":"WTTrmG5W","properties":{"unsorted":false,"formattedCitation":"(N\\uc0\\u250{}\\uc0\\u241{}ez-Regueiro et al., 2025; Tunsakul &amp; Tunsakul, 2026)","plainCitation":"(Núñez-Regueiro et al., 2025; Tunsakul &amp; Tunsakul, 2026)","noteIndex":0},"citationItems":[{"id":3750,"uris":["http://zotero.org/users/local/XAaPoWI6/items/KL8RWIG5"],"itemData":{"id":3750,"type":"article-journal","abstract":"Aim/Purpose: This study aimed to examine how perceived policy‑driven workforce development initiatives enacted under the Thailand</w:instrText>
      </w:r>
      <w:r w:rsidR="00A43901">
        <w:rPr>
          <w:bCs/>
          <w:sz w:val="22"/>
          <w:szCs w:val="22"/>
          <w:lang w:val="en-ID"/>
        </w:rPr>
        <w:instrText> </w:instrText>
      </w:r>
      <w:r w:rsidR="00A43901">
        <w:rPr>
          <w:rFonts w:ascii="Palatino Linotype" w:hAnsi="Palatino Linotype"/>
          <w:bCs/>
          <w:sz w:val="22"/>
          <w:szCs w:val="22"/>
          <w:lang w:val="en-ID"/>
        </w:rPr>
        <w:instrText>4.0 national framework influence university students’ employability‑related skill development and their subsequent readiness to enter the labor market. Specifically, the research investigated the extent to which Policy and Workforce Development Initiatives (PWDI) contribute to students’ English Proficiency (EP), Digital and Technical Skills (DTS), and Soft Skills and Higher‑Order Thinking Skills (SHS), along with how these three skill domains shape overall Labor‑Market Readiness (LMR). Grounded in human capital and employability theories, workforce readiness is conceptualized as the result of integrated skills. By developing and validating a structural model grounded in current regional skill demands, this study provided empirical evidence on how policy initiatives translate into integrated skill outcomes among undergraduate learners.\nIntroduction/Background: Across Southeast Asia, economies are undergoing rapid transformation driven by Industry</w:instrText>
      </w:r>
      <w:r w:rsidR="00A43901">
        <w:rPr>
          <w:bCs/>
          <w:sz w:val="22"/>
          <w:szCs w:val="22"/>
          <w:lang w:val="en-ID"/>
        </w:rPr>
        <w:instrText> </w:instrText>
      </w:r>
      <w:r w:rsidR="00A43901">
        <w:rPr>
          <w:rFonts w:ascii="Palatino Linotype" w:hAnsi="Palatino Linotype"/>
          <w:bCs/>
          <w:sz w:val="22"/>
          <w:szCs w:val="22"/>
          <w:lang w:val="en-ID"/>
        </w:rPr>
        <w:instrText>4.0 and 5.0 technologies, automation, and global connectivity. Thailand’s response to these shifts is captured in the Thailand</w:instrText>
      </w:r>
      <w:r w:rsidR="00A43901">
        <w:rPr>
          <w:bCs/>
          <w:sz w:val="22"/>
          <w:szCs w:val="22"/>
          <w:lang w:val="en-ID"/>
        </w:rPr>
        <w:instrText> </w:instrText>
      </w:r>
      <w:r w:rsidR="00A43901">
        <w:rPr>
          <w:rFonts w:ascii="Palatino Linotype" w:hAnsi="Palatino Linotype"/>
          <w:bCs/>
          <w:sz w:val="22"/>
          <w:szCs w:val="22"/>
          <w:lang w:val="en-ID"/>
        </w:rPr>
        <w:instrText>4.0 strategy, which emphasizes human capital development, digital transformation, and innovation capacity. Despite these policy efforts, labor‑market reports consistently highlight persistent skills gaps, particularly in English communication, digital literacy, and higher‑order cognitive abilities. Employers increasingly seek graduates who can operate in multilingual, technology‑mediated environments and who possess the adaptability, communication competence, and problem‑solving abilities required for dynamic workplaces. However, universities face ongoing challenges in aligning their curricula with rapidly changing workforce needs. Within this context, understanding the mechanisms through which policy initiatives influence skill development is essential. This research contributes to that understanding by modeling the direct pathways through which PWDI affect three core skill domains and, in turn, labor‑market readiness among undergraduate students.\nMethodology: A quantitative, cross‑sectional design was employed using data from 390 undergraduate students enrolled in seven academic programs at Bangkok University, Thailand. Data were collected through a structured questionnaire distributed via QR codes during class sessions. Each construct—PWDI, EP, DTS, SHS, and LMR—was measured using four validated items rated on a five‑point Likert scale. Confirmatory Factor Analysis (CFA) and Structural Equation Modeling (SEM) were conducted to evaluate the measurement and structural models. The CFA indicated excellent fit across all indicators (CMIN/DF = 1.283, GFI = .950, RMSEA = .027, CFI = .996), demonstrating strong construct validity. The structural model also exhibited robust fit (CMIN/DF = 1.280, GFI = .949, RMSEA = .027, CFI = .996). All six hypothesized paths were tested using standardized regression weights, critical ratios, and significance levels.\nFindings: The findings confirmed that PWDI significantly and positively influenced each of the three skill domains. The strongest effect was observed on Digital and Technical Skills (ß = .696), followed by Soft Skills and Higher‑Order Thinking Skills (ß = .680), and English Proficiency (ß = .656). These results highlighted the importance of policy mechanisms, such as work‑integrated learning, micro‑credentials, curriculum modernization, and teacher upskilling, in shaping student competencies across multiple domains. In turn, each skill domain demonstrated a significant positive effect on Labor‑Market Readiness. While all three skills contributed meaningfully, SHS displayed the strongest influence on LMR (ß = .369), followed by EP (ß = .333) and DTS (ß = .299). This suggests that soft skills and higher-order thinking skills help translate competencies into perceived workforce readiness. The model showed substantial explanatory power, with PWDI explaining 43.1% of the variance in EP, 48.4% in DTS, and 46.3% in SHS. Overall, the findings indicated that policy initiatives improve workplace-relevant skills, which in turn enhance students’ perceived readiness for the labor market.\nContribution/Impact on Society: This study advances regional understanding of how educational policy, institutional initiatives, and curriculum reforms shape graduate employability in the context of digital transformation. The findings provide evidence that policy efforts under Thailand</w:instrText>
      </w:r>
      <w:r w:rsidR="00A43901">
        <w:rPr>
          <w:bCs/>
          <w:sz w:val="22"/>
          <w:szCs w:val="22"/>
          <w:lang w:val="en-ID"/>
        </w:rPr>
        <w:instrText> </w:instrText>
      </w:r>
      <w:r w:rsidR="00A43901">
        <w:rPr>
          <w:rFonts w:ascii="Palatino Linotype" w:hAnsi="Palatino Linotype"/>
          <w:bCs/>
          <w:sz w:val="22"/>
          <w:szCs w:val="22"/>
          <w:lang w:val="en-ID"/>
        </w:rPr>
        <w:instrText xml:space="preserve">4.0 can substantially enhance students’ skill development when effectively implemented at the university level. From a societal perspective, the findings reinforce the need for coordinated systems that align education with dynamic labor‑market needs. The study also highlights the importance of integrated skill development in preparing graduates for the digital economy. It shows that skill development is not only a pedagogical concern, but also a policy priority with implications for economic competitiveness, social mobility, and workforce equity.\nRecommendations: The findings underscore the importance of embedding authentic, workplace‑aligned learning opportunities across disciplines. Universities should prioritize the integration of English‑medium communication tasks, digital‑tool proficiency, and problem‑based learning within regular coursework. Policymakers should continue strengthening industry partnerships, investing in teacher training, and designing scalable micro‑credential pathways that address emerging skill demands. Employers may also benefit from closer collaboration with universities to co‑develop experiential learning opportunities and performance‑based assessments that mirror real-world expectations.\nResearch Limitations: This study was limited by its reliance on a single institutional context, which may constrain generalizability. The use of self‑report measures introduces potential perceptual bias, and the cross‑sectional design restricts the ability to infer long‑term skill development trajectories or causal pathways. Perceptual measures of policy exposure and readiness may inflate observed relationships among variables. Future studies should incorporate multi-institutional samples, longitudinal tracking, and triangulated data sources, including employer evaluations and performance‑based assessments.\nFuture Research: Future investigations may explore moderating variables such as program type, digital access, socioeconomic background, or prior work experience to understand variation in skill development outcomes. Comparative studies across ASEAN countries would also provide insight into differences in regional policy implementation. Additionally, mixed‑method approaches, combining surveys with interviews, classroom observations, or learning analytics, could offer deeper insights into how policy initiatives are enacted at the instructional level and how students experience skill development over time.","container-title":"Human Behavior, Development and Society","DOI":"10.62370/hbds.v27i3.286930","ISSN":"2651-1762","issue":"3","journalAbbreviation":"Hum. Behav. Dev. Soc.","license":"https://creativecommons.org/licenses/by-nc-nd/4.0","page":"286930","source":"DOI.org (Crossref)","title":"Policy-Driven Workforce Development and Integrated Skills as Predictors of Workforce Readiness in Thailand’s Digital Economy","volume":"27","author":[{"family":"Tunsakul","given":"Kanasin"},{"family":"Tunsakul","given":"Khomson"}],"issued":{"date-parts":[["2026",9,24]]}}},{"id":3749,"uris":["http://zotero.org/users/local/XAaPoWI6/items/CE4MSEQK"],"itemData":{"id":3749,"type":"article-journal","container-title":"Thinking Skills and Creativity","DOI":"10.1016/j.tsc.2025.101873","ISSN":"18711871","journalAbbreviation":"Thinking Skills and Creativity","language":"en","page":"101873","source":"DOI.org (Crossref)","title":"How Teacher Autonomy Support and Student Creativity Jointly Contribute to Self-Regulated Learning: A Dynamic, Person-environment Fit Perspective","title-short":"How teacher autonomy support and student creativity jointly contribute to self-regulated learning","volume":"58","author":[{"family":"Núñez-Regueiro","given":"Fernando"},{"family":"Verger","given":"Nicolas B."},{"family":"Bressoux","given":"Pascal"},{"family":"Batruch","given":"Anatolia"},{"family":"Bouet","given":"Marinette"},{"family":"Bressan","given":"Marco"},{"family":"Brown","given":"Genavee"},{"family":"Butera","given":"Fabrizio"},{"family":"Cherbonnier","given":"Anthony"},{"family":"Darnon","given":"Céline"},{"family":"Demolliens","given":"Marie"},{"family":"De Place","given":"Anne-Laure"},{"family":"Desrichard","given":"Olivier"},{"family":"Goron","given":"Luc"},{"family":"Hémon","given":"Brivael"},{"family":"Huguet","given":"Pascal"},{"family":"Jamet","given":"Eric"},{"family":"Mazenod","given":"Vincent"},{"family":"Mella-Barraco","given":"Nathalie"},{"family":"Michinov","given":"Estelle"},{"family":"Michinov","given":"Nicolas"},{"family":"Ofosu","given":"Nana"},{"family":"Peter","given":"Laurine"},{"family":"Poletti","given":"Céline"},{"family":"Régner","given":"Isabelle"},{"family":"Riant","given":"Mathilde"},{"family":"Robert","given":"Anaïs"},{"family":"Rudmann","given":"Ocyna"},{"family":"Sanrey","given":"Camille"},{"family":"Stanczak","given":"Arnaud"},{"family":"Toumani","given":"Farouk"},{"family":"Visintin","given":"Emilio Paolo"},{"family":"Pansu","given":"Pascal"}],"issued":{"date-parts":[["2025",12]]}}}],"schema":"https://github.com/citation-style-language/schema/raw/master/csl-citation.json"} </w:instrText>
      </w:r>
      <w:r w:rsidR="00A43901">
        <w:rPr>
          <w:rFonts w:ascii="Palatino Linotype" w:hAnsi="Palatino Linotype"/>
          <w:bCs/>
          <w:sz w:val="22"/>
          <w:szCs w:val="22"/>
          <w:lang w:val="en-ID"/>
        </w:rPr>
        <w:fldChar w:fldCharType="separate"/>
      </w:r>
      <w:r w:rsidR="00A43901" w:rsidRPr="00A43901">
        <w:rPr>
          <w:rFonts w:ascii="Palatino Linotype" w:eastAsiaTheme="minorHAnsi" w:hAnsi="Palatino Linotype"/>
          <w:sz w:val="22"/>
          <w:szCs w:val="24"/>
          <w:lang w:val="en-US"/>
        </w:rPr>
        <w:t>(Núñez-Regueiro et al., 2025; Tunsakul &amp; Tunsakul, 2026)</w:t>
      </w:r>
      <w:r w:rsidR="00A43901">
        <w:rPr>
          <w:rFonts w:ascii="Palatino Linotype" w:hAnsi="Palatino Linotype"/>
          <w:bCs/>
          <w:sz w:val="22"/>
          <w:szCs w:val="22"/>
          <w:lang w:val="en-ID"/>
        </w:rPr>
        <w:fldChar w:fldCharType="end"/>
      </w:r>
      <w:r w:rsidRPr="00AD0A28">
        <w:rPr>
          <w:rFonts w:ascii="Palatino Linotype" w:hAnsi="Palatino Linotype"/>
          <w:bCs/>
          <w:sz w:val="22"/>
          <w:szCs w:val="22"/>
          <w:lang w:val="en-ID"/>
        </w:rPr>
        <w:t>. Conversely, unclear or poorly aligned questions can interrupt independent work. Requests for assistance must therefore be interpreted in relation to the task, rather than automatically attributed to low student independence.</w:t>
      </w:r>
    </w:p>
    <w:p w14:paraId="3BDBD517" w14:textId="2B04BDFB" w:rsidR="00AD0A28" w:rsidRPr="00AD0A28" w:rsidRDefault="00AD0A28" w:rsidP="007D57B4">
      <w:pPr>
        <w:spacing w:line="360" w:lineRule="auto"/>
        <w:ind w:firstLine="720"/>
        <w:contextualSpacing/>
        <w:jc w:val="both"/>
        <w:rPr>
          <w:rFonts w:ascii="Palatino Linotype" w:hAnsi="Palatino Linotype"/>
          <w:bCs/>
          <w:sz w:val="22"/>
          <w:szCs w:val="22"/>
          <w:lang w:val="en-ID"/>
        </w:rPr>
      </w:pPr>
      <w:r w:rsidRPr="00AD0A28">
        <w:rPr>
          <w:rFonts w:ascii="Palatino Linotype" w:hAnsi="Palatino Linotype"/>
          <w:bCs/>
          <w:sz w:val="22"/>
          <w:szCs w:val="22"/>
          <w:lang w:val="en-ID"/>
        </w:rPr>
        <w:t>This interpretation complements</w:t>
      </w:r>
      <w:r w:rsidR="00A43901">
        <w:rPr>
          <w:rFonts w:ascii="Palatino Linotype" w:hAnsi="Palatino Linotype"/>
          <w:bCs/>
          <w:sz w:val="22"/>
          <w:szCs w:val="22"/>
          <w:lang w:val="en-ID"/>
        </w:rPr>
        <w:t xml:space="preserve"> </w:t>
      </w:r>
      <w:r w:rsidR="00A43901">
        <w:rPr>
          <w:rFonts w:ascii="Palatino Linotype" w:hAnsi="Palatino Linotype"/>
          <w:bCs/>
          <w:sz w:val="22"/>
          <w:szCs w:val="22"/>
          <w:lang w:val="en-ID"/>
        </w:rPr>
        <w:fldChar w:fldCharType="begin"/>
      </w:r>
      <w:r w:rsidR="00A43901">
        <w:rPr>
          <w:rFonts w:ascii="Palatino Linotype" w:hAnsi="Palatino Linotype"/>
          <w:bCs/>
          <w:sz w:val="22"/>
          <w:szCs w:val="22"/>
          <w:lang w:val="en-ID"/>
        </w:rPr>
        <w:instrText xml:space="preserve"> ADDIN ZOTERO_ITEM CSL_CITATION {"citationID":"snD6gI1O","properties":{"unsorted":false,"formattedCitation":"(Milaningsih &amp; Sartono, 2025b)","plainCitation":"(Milaningsih &amp; Sartono, 2025b)","noteIndex":0},"citationItems":[{"id":3742,"uris":["http://zotero.org/users/local/XAaPoWI6/items/4X8WEHKN"],"itemData":{"id":3742,"type":"article-journal","abstract":"One of the most critical learning tools is the Student Worksheet (LKDP). The LKPD used needs to improve students' conceptual understanding and learning independence, especially in Pancasila Education. Pancasila Education prepares students as citizens who master knowledge, skills, attitudes, and values. This study aims to analyze the validity, practicality, and effectiveness of RADEC Learning-based LKPD to improve conceptual understanding and learning independence. The research method used is research and development (R&amp;D) with the Borg and Gall development model. The research subjects were fourth-grade elementary school students. Data collection techniques used in this study were tests and non-tests, namely interviews, tests, observations, and questionnaires. The data obtained were then analyzed for validity, practicality, and effectiveness through pre-tests, t-tests, MANOVA tests, and N-Gain scores. The results of the n-gain score analysis showed that the n-gain scores for conceptual understanding and learning independence were higher in the experimental class compared to the control class. The t-test and Manova test results at a significance level of 0.05 showed that student worksheets based on RADEC learning significantly influenced the conceptual understanding and learning independence of fourth-grade elementary school students, with significance values of 0.003 and 0.000 (p&lt;0.005). RADEC-based student worksheets have been proven effective in improving students' conceptual understanding and learning independence.\n          , \n            Salah satu perangkat pembelajaran yang sangat penting adalah LKDP. LKPD yang digunakan perlu dapat menngkatkan kemampuan pemahaman konsep dan kemandirian belajar siswa khususnya pada Pendidikan pancasila. Pendidikan Pancasila mempersiapkan siswa sebagai warga negara yang menguasai pengetahuan, keterampilan, sikap dan nilai. Penelitian ini bertujuan untuk mengetahui kevalidan, kepraktisan, dan keefektifan LKPD berbasis RADEC Learning untuk meningkatkan pemahaman konsep dan kemandirian belajar. Metode penelitian yang digunakan adalah penelitian dan pengembangan (R&amp;D) dengan model pengembangan Borg and Gall. Uji coba lembar kerja peserta didik menggunakan desain pretest-posttest kelompok. Hasil analisis skor n-gain menunjukkan bahwa skor n-gain pemahaman konsep dan kemandirian belajar lebih tinggi pada kelas eksperimen dibandingkan dengan kelas kontrol. Hasil uji-t dan uji Manova pada taraf signifikansi 0,05 menunjukkan bahwa lembar kerja siswa berbasis pembelajaran RADEC berpengaruh secara signifikan terhadap pemahaman konsep dan kemandirian belajar siswa kelas IV SD dengan nilai signifikansi 0,003 dan 0,000 (p&lt;0,005)","container-title":"JPI (Jurnal Pendidikan Indonesia)","DOI":"10.23887/jpi-undiksha.v14i3.89152","ISSN":"2541-7207, 2303-288X","issue":"3","journalAbbreviation":"j. pendidik. indonesia.","license":"http://creativecommons.org/licenses/by-sa/4.0","page":"637-647","source":"DOI.org (Crossref)","title":"RADEC Learning-Based LKPD to Improve Concept Understanding and Learning Independence","volume":"14","author":[{"family":"Milaningsih","given":"Marlita Diah"},{"family":"Sartono","given":"E. Kus Eddy"}],"issued":{"date-parts":[["2025",9,25]]}}}],"schema":"https://github.com/citation-style-language/schema/raw/master/csl-citation.json"} </w:instrText>
      </w:r>
      <w:r w:rsidR="00A43901">
        <w:rPr>
          <w:rFonts w:ascii="Palatino Linotype" w:hAnsi="Palatino Linotype"/>
          <w:bCs/>
          <w:sz w:val="22"/>
          <w:szCs w:val="22"/>
          <w:lang w:val="en-ID"/>
        </w:rPr>
        <w:fldChar w:fldCharType="separate"/>
      </w:r>
      <w:r w:rsidR="00A43901">
        <w:rPr>
          <w:rFonts w:ascii="Palatino Linotype" w:hAnsi="Palatino Linotype"/>
          <w:bCs/>
          <w:noProof/>
          <w:sz w:val="22"/>
          <w:szCs w:val="22"/>
          <w:lang w:val="en-ID"/>
        </w:rPr>
        <w:t>(Milaningsih &amp; Sartono, 2025b)</w:t>
      </w:r>
      <w:r w:rsidR="00A43901">
        <w:rPr>
          <w:rFonts w:ascii="Palatino Linotype" w:hAnsi="Palatino Linotype"/>
          <w:bCs/>
          <w:sz w:val="22"/>
          <w:szCs w:val="22"/>
          <w:lang w:val="en-ID"/>
        </w:rPr>
        <w:fldChar w:fldCharType="end"/>
      </w:r>
      <w:r w:rsidRPr="00AD0A28">
        <w:rPr>
          <w:rFonts w:ascii="Palatino Linotype" w:hAnsi="Palatino Linotype"/>
          <w:bCs/>
          <w:sz w:val="22"/>
          <w:szCs w:val="22"/>
          <w:lang w:val="en-ID"/>
        </w:rPr>
        <w:t>, whose research addressed activity design in RADEC-based worksheets, and</w:t>
      </w:r>
      <w:r w:rsidR="00A43901">
        <w:rPr>
          <w:rFonts w:ascii="Palatino Linotype" w:hAnsi="Palatino Linotype"/>
          <w:bCs/>
          <w:sz w:val="22"/>
          <w:szCs w:val="22"/>
          <w:lang w:val="en-ID"/>
        </w:rPr>
        <w:t xml:space="preserve"> </w:t>
      </w:r>
      <w:r w:rsidR="00A43901">
        <w:rPr>
          <w:rFonts w:ascii="Palatino Linotype" w:hAnsi="Palatino Linotype"/>
          <w:bCs/>
          <w:sz w:val="22"/>
          <w:szCs w:val="22"/>
          <w:lang w:val="en-ID"/>
        </w:rPr>
        <w:fldChar w:fldCharType="begin"/>
      </w:r>
      <w:r w:rsidR="00A43901">
        <w:rPr>
          <w:rFonts w:ascii="Palatino Linotype" w:hAnsi="Palatino Linotype"/>
          <w:bCs/>
          <w:sz w:val="22"/>
          <w:szCs w:val="22"/>
          <w:lang w:val="en-ID"/>
        </w:rPr>
        <w:instrText xml:space="preserve"> ADDIN ZOTERO_ITEM CSL_CITATION {"citationID":"MeWSOyAX","properties":{"unsorted":false,"formattedCitation":"(Larasati et al., 2026)","plainCitation":"(Larasati et al., 2026)","noteIndex":0},"citationItems":[{"id":3743,"uris":["http://zotero.org/users/local/XAaPoWI6/items/FNCJ2XC5"],"itemData":{"id":3743,"type":"article-journal","abstract":"Penelitian ini bertujuan untuk mengembangkan dan mengevaluasi validitas, kepraktisan, dan efektivitas Lembar Kerja Peserta Didik (LKPD) berbasis Pembelajaran Berbasis Masalah (PBL) dalam meningkatkan kemampuan pemecahan masalah matematika siswa kelas lima SD. Berlandaskan pendekatan pra-eksperimental menggunakan Desain Pretest-Posttest Satu Kelompok, intervensi dilakukan pada siswa kelas lima SD Negeri 3 Kemiling Permai. Pengumpulan data melibatkan lembar validasi ahli, tanggapan kuesioner guru dan siswa, serta pengukuran pretest-posttest yang menargetkan empat indikator pemecahan masalah Polya. Hipotesis diuji menggunakan uji t sampel berpasangan dan analisis normalized gain (N-Gain). Hasil menunjukkan perbedaan yang signifikan secara statistik pada kinerja pemecahan masalah siswa setelah intervensi (p=0,000&lt;0,05). Skor N-Gain rata-rata adalah 0,765, dikategorikan sebagai \"Sedang,\" dengan persentase efektivitas 76,5% (\"Cukup Efektif\"). Temuan ini menegaskan bahwa mengintegrasikan sintaksis PBL ke dalam lembar kerja terstruktur memberikan dukungan pembelajaran yang efektif, mengubah siswa dari pembelajar pasif menjadi pemecah masalah aktif yang mampu menganalisis masalah kontekstual, merumuskan strategi, dan mengeksekusi solusi matematika. Studi ini menyoroti nilai praktis materi pembelajaran berpusat pada masalah dalam mengimplementasikan Kurikulum Merdeka dan menumbuhkan keterampilan abad ke-21 di pendidikan dasar.","container-title":"International Journal of Post Axial: Futuristic Teaching and Learning","DOI":"10.59944/postaxial.v4i3.1802","ISSN":"3025-7549","journalAbbreviation":"Post Axial","page":"1879-1889","source":"DOI.org (Crossref)","title":"The Effectiveness of Using Problem Based Learning-Based Student Worksheets to Improve Elementary School Students' Mathematical Problem-Solving Skills","author":[{"family":"Larasati","given":"Sattya Dewi"},{"literal":"Herpratiwi"},{"literal":"Caswita"}],"issued":{"date-parts":[["2026",9,21]]}}}],"schema":"https://github.com/citation-style-language/schema/raw/master/csl-citation.json"} </w:instrText>
      </w:r>
      <w:r w:rsidR="00A43901">
        <w:rPr>
          <w:rFonts w:ascii="Palatino Linotype" w:hAnsi="Palatino Linotype"/>
          <w:bCs/>
          <w:sz w:val="22"/>
          <w:szCs w:val="22"/>
          <w:lang w:val="en-ID"/>
        </w:rPr>
        <w:fldChar w:fldCharType="separate"/>
      </w:r>
      <w:r w:rsidR="00A43901">
        <w:rPr>
          <w:rFonts w:ascii="Palatino Linotype" w:hAnsi="Palatino Linotype"/>
          <w:bCs/>
          <w:noProof/>
          <w:sz w:val="22"/>
          <w:szCs w:val="22"/>
          <w:lang w:val="en-ID"/>
        </w:rPr>
        <w:t>(Larasati et al., 2026)</w:t>
      </w:r>
      <w:r w:rsidR="00A43901">
        <w:rPr>
          <w:rFonts w:ascii="Palatino Linotype" w:hAnsi="Palatino Linotype"/>
          <w:bCs/>
          <w:sz w:val="22"/>
          <w:szCs w:val="22"/>
          <w:lang w:val="en-ID"/>
        </w:rPr>
        <w:fldChar w:fldCharType="end"/>
      </w:r>
      <w:r w:rsidR="00A43901">
        <w:rPr>
          <w:rFonts w:ascii="Palatino Linotype" w:hAnsi="Palatino Linotype"/>
          <w:bCs/>
          <w:sz w:val="22"/>
          <w:szCs w:val="22"/>
          <w:lang w:val="en-ID"/>
        </w:rPr>
        <w:t xml:space="preserve"> </w:t>
      </w:r>
      <w:r w:rsidRPr="00AD0A28">
        <w:rPr>
          <w:rFonts w:ascii="Palatino Linotype" w:hAnsi="Palatino Linotype"/>
          <w:bCs/>
          <w:sz w:val="22"/>
          <w:szCs w:val="22"/>
          <w:lang w:val="en-ID"/>
        </w:rPr>
        <w:t>, who examined structured worksheet activities. The present findings also place teacher facilitation, discussed by</w:t>
      </w:r>
      <w:r w:rsidR="00A43901">
        <w:rPr>
          <w:rFonts w:ascii="Palatino Linotype" w:hAnsi="Palatino Linotype"/>
          <w:bCs/>
          <w:sz w:val="22"/>
          <w:szCs w:val="22"/>
          <w:lang w:val="en-ID"/>
        </w:rPr>
        <w:fldChar w:fldCharType="begin"/>
      </w:r>
      <w:r w:rsidR="00A43901">
        <w:rPr>
          <w:rFonts w:ascii="Palatino Linotype" w:hAnsi="Palatino Linotype"/>
          <w:bCs/>
          <w:sz w:val="22"/>
          <w:szCs w:val="22"/>
          <w:lang w:val="en-ID"/>
        </w:rPr>
        <w:instrText xml:space="preserve"> ADDIN ZOTERO_ITEM CSL_CITATION {"citationID":"NDOPBgD8","properties":{"unsorted":false,"formattedCitation":"(Budiman et al., 2024)","plainCitation":"(Budiman et al., 2024)","noteIndex":0},"citationItems":[{"id":3745,"uris":["http://zotero.org/users/local/XAaPoWI6/items/R4W7TMBR"],"itemData":{"id":3745,"type":"article-journal","abstract":"Innovation in education management is essential to improve the quality of learning in an ever-evolving era. This study uses the literature method. The results show that innovative strategies that can be implemented by educational institutions to improve student engagement and the effectiveness of the learning process include the utilisation of digital technology, teacher professional development and collaboration with external stakeholders. Then, to implement these strategies, there are common challenges such as resistance to change and budget constraints that can be a barrier to implementing innovation. With a comprehensive and planned approach, as well as high commitment from all members of the organisation, these innovations are expected to provide significant improvements to the quality of education and student learning outcomes.","container-title":"Jurnal Ilmiah Edukatif","DOI":"10.37567/jie.v10i2.3302","ISSN":"2745-4681","issue":"2","journalAbbreviation":"JIE","page":"223-236","source":"DOI.org (Crossref)","title":"Innovation In Education Management To Improve Learning Quality","volume":"10","author":[{"family":"Budiman","given":"Ahmad Rahman"},{"literal":"Syafril Barus"},{"literal":"Petrus Jacob Pattiasina"},{"literal":"Syarifuddin Syarifuddin"},{"literal":"Hudson Sidabutar"}],"issued":{"date-parts":[["2024",11,19]]}}}],"schema":"https://github.com/citation-style-language/schema/raw/master/csl-citation.json"} </w:instrText>
      </w:r>
      <w:r w:rsidR="00A43901">
        <w:rPr>
          <w:rFonts w:ascii="Palatino Linotype" w:hAnsi="Palatino Linotype"/>
          <w:bCs/>
          <w:sz w:val="22"/>
          <w:szCs w:val="22"/>
          <w:lang w:val="en-ID"/>
        </w:rPr>
        <w:fldChar w:fldCharType="separate"/>
      </w:r>
      <w:r w:rsidR="00A43901">
        <w:rPr>
          <w:rFonts w:ascii="Palatino Linotype" w:hAnsi="Palatino Linotype"/>
          <w:bCs/>
          <w:noProof/>
          <w:sz w:val="22"/>
          <w:szCs w:val="22"/>
          <w:lang w:val="en-ID"/>
        </w:rPr>
        <w:t>(Budiman et al., 2024)</w:t>
      </w:r>
      <w:r w:rsidR="00A43901">
        <w:rPr>
          <w:rFonts w:ascii="Palatino Linotype" w:hAnsi="Palatino Linotype"/>
          <w:bCs/>
          <w:sz w:val="22"/>
          <w:szCs w:val="22"/>
          <w:lang w:val="en-ID"/>
        </w:rPr>
        <w:fldChar w:fldCharType="end"/>
      </w:r>
      <w:r w:rsidRPr="00AD0A28">
        <w:rPr>
          <w:rFonts w:ascii="Palatino Linotype" w:hAnsi="Palatino Linotype"/>
          <w:bCs/>
          <w:sz w:val="22"/>
          <w:szCs w:val="22"/>
          <w:lang w:val="en-ID"/>
        </w:rPr>
        <w:t>, alongside material quality and student readiness.</w:t>
      </w:r>
      <w:r w:rsidR="007D57B4">
        <w:rPr>
          <w:rFonts w:ascii="Palatino Linotype" w:hAnsi="Palatino Linotype"/>
          <w:bCs/>
          <w:sz w:val="22"/>
          <w:szCs w:val="22"/>
          <w:lang w:val="en-ID"/>
        </w:rPr>
        <w:t xml:space="preserve"> </w:t>
      </w:r>
      <w:r w:rsidRPr="00AD0A28">
        <w:rPr>
          <w:rFonts w:ascii="Palatino Linotype" w:hAnsi="Palatino Linotype"/>
          <w:bCs/>
          <w:sz w:val="22"/>
          <w:szCs w:val="22"/>
          <w:lang w:val="en-ID"/>
        </w:rPr>
        <w:t xml:space="preserve">The findings affirm the relevance of </w:t>
      </w:r>
      <w:r w:rsidRPr="00AD0A28">
        <w:rPr>
          <w:rFonts w:ascii="Palatino Linotype" w:hAnsi="Palatino Linotype"/>
          <w:bCs/>
          <w:sz w:val="22"/>
          <w:szCs w:val="22"/>
          <w:lang w:val="en-ID"/>
        </w:rPr>
        <w:lastRenderedPageBreak/>
        <w:t>well-designed materials and appropriate guidance</w:t>
      </w:r>
      <w:r w:rsidR="00650B5D">
        <w:rPr>
          <w:rFonts w:ascii="Palatino Linotype" w:hAnsi="Palatino Linotype"/>
          <w:bCs/>
          <w:sz w:val="22"/>
          <w:szCs w:val="22"/>
          <w:lang w:val="en-ID"/>
        </w:rPr>
        <w:t>,</w:t>
      </w:r>
      <w:r w:rsidRPr="00AD0A28">
        <w:rPr>
          <w:rFonts w:ascii="Palatino Linotype" w:hAnsi="Palatino Linotype"/>
          <w:bCs/>
          <w:sz w:val="22"/>
          <w:szCs w:val="22"/>
          <w:lang w:val="en-ID"/>
        </w:rPr>
        <w:t xml:space="preserve"> while qualifying the expectation that a suitable worksheet will </w:t>
      </w:r>
      <w:r w:rsidR="00650B5D">
        <w:rPr>
          <w:rFonts w:ascii="Palatino Linotype" w:hAnsi="Palatino Linotype"/>
          <w:bCs/>
          <w:sz w:val="22"/>
          <w:szCs w:val="22"/>
          <w:lang w:val="en-ID"/>
        </w:rPr>
        <w:t xml:space="preserve">consistently </w:t>
      </w:r>
      <w:r w:rsidRPr="00AD0A28">
        <w:rPr>
          <w:rFonts w:ascii="Palatino Linotype" w:hAnsi="Palatino Linotype"/>
          <w:bCs/>
          <w:sz w:val="22"/>
          <w:szCs w:val="22"/>
          <w:lang w:val="en-ID"/>
        </w:rPr>
        <w:t>produce independence. Some students still needed encouragement, clarification, or additional explanations. The study’s contribution lies in identifying a gradual learning process involving reading, task initiation, time management, confidence, independent attempts, and purposeful help-seeking</w:t>
      </w:r>
      <w:r w:rsidR="005B231A">
        <w:rPr>
          <w:rFonts w:ascii="Palatino Linotype" w:hAnsi="Palatino Linotype"/>
          <w:bCs/>
          <w:sz w:val="22"/>
          <w:szCs w:val="22"/>
          <w:lang w:val="en-ID"/>
        </w:rPr>
        <w:t xml:space="preserve"> </w:t>
      </w:r>
      <w:r w:rsidR="005B231A">
        <w:rPr>
          <w:rFonts w:ascii="Palatino Linotype" w:hAnsi="Palatino Linotype"/>
          <w:bCs/>
          <w:sz w:val="22"/>
          <w:szCs w:val="22"/>
          <w:lang w:val="en-ID"/>
        </w:rPr>
        <w:fldChar w:fldCharType="begin"/>
      </w:r>
      <w:r w:rsidR="005B231A">
        <w:rPr>
          <w:rFonts w:ascii="Palatino Linotype" w:hAnsi="Palatino Linotype"/>
          <w:bCs/>
          <w:sz w:val="22"/>
          <w:szCs w:val="22"/>
          <w:lang w:val="en-ID"/>
        </w:rPr>
        <w:instrText xml:space="preserve"> ADDIN ZOTERO_ITEM CSL_CITATION {"citationID":"PzWG9zqe","properties":{"unsorted":false,"formattedCitation":"(Ayuningsih, 2026; Othman et al., 2026)","plainCitation":"(Ayuningsih, 2026; Othman et al., 2026)","noteIndex":0},"citationItems":[{"id":3783,"uris":["http://zotero.org/users/local/XAaPoWI6/items/9YQ4JU77"],"itemData":{"id":3783,"type":"article-journal","abstract":"Despite extensive formal English instruction, many Malaysian higher education graduates continue to show limited confidence and persistent anxiety when communicating in English, indicating ongoing challenges in developing communicative competence in tertiary ESL contexts. Although drama-based pedagogy is widely advocated as an effective way to address these challenges, limited empirical research has examined how experienced lecturers intentionally scaffold English communication through drama within undergraduate curricula. This study explores the pedagogical principles underpinning lecturers' implementation of drama-based learning in an undergraduate English communication course at a Malaysian public university. Specifically, it investigates how lecturers design, sequence, facilitate, and adapt drama-based learning experiences to support students' communicative development. Employing a qualitative research design, the study drew on in-depth semi-structured interviews with three experienced ESL lecturers teaching the Communication Through Drama course. Data were analysed using Braun and Clarke's reflexive thematic analysis. Four interrelated pedagogical principles emerged from the analysis: (1) a structured progression of learning activities from low-risk individual monologues to higher-risk ensemble productions; (2) the deliberate creation of psychologically safe communicative environments that reduce learners' affective barriers to participation; (3) the design of authentic communicative situations through drama in which learners negotiate meaning and respond to realistic scenarios; and (4) a facilitative teaching orientation in which lecturers act as guides, observers, and co-learners. Collectively, these principles supported learners' gradual development of communicative independence throughout the semester rather than through isolated classroom activities or assessments. The findings complement the predominantly outcome-oriented literature on drama-based pedagogy by providing a process-oriented explanation of how communicative competence is cultivated through purposeful instructional design. Furthermore, the study extends scaffolding theory in second-language education by demonstrating that effective scaffolding in drama-based pedagogy integrates cognitive, emotional, interactive, and instructional dimensions. The study offers a coherent pedagogical framework for lecturers, curriculum designers, and professional development providers seeking to embed drama-based pedagogy as a structured, supportive, and sustainable approach to developing communicative competence in higher education ESL classrooms.","container-title":"International Journal of Research and Innovation in Social Science","DOI":"10.47772/IJRISS.2026.102100128","ISSN":"2454-6186, 24546186","issue":"21","journalAbbreviation":"IJRISS","page":"1547-1562","source":"DOI.org (Crossref)","title":"Scaffolding English Communication through Drama-Based Pedagogy: Insights from ESL Lecturers in Malaysian Higher Education","title-short":"Scaffolding English Communication through Drama-Based Pedagogy","volume":"10","author":[{"family":"Othman","given":"Noor Ahnis"},{"family":"Khalil","given":"Shafiyah Mohamad"},{"family":"Ali","given":"Amy Zulaikha Mohd"},{"family":"Rahman","given":"Amir Lukman Abd"},{"literal":"Suryanto"}],"issued":{"date-parts":[["2026"]]}}},{"id":3781,"uris":["http://zotero.org/users/local/XAaPoWI6/items/YFBAHN78"],"itemData":{"id":3781,"type":"article-journal","abstract":"ABSTRACT\nEarly reading skills develop through learning experiences that are strongly shaped by the quality of interaction between teachers and students, particularly when children experience difficulties reading independently. This study aimed to describe how teacher assistance supports the development of early reading skills among a first-grade student at SD Islam Al-Ukhuwah Cikarang. A qualitative descriptive approach was employed, involving one classroom teacher and one student selected through purposive sampling. Data were collected through classroom observations, semi-structured interviews, and documentation, and were analyzed using an interactive analysis model consisting of data reduction, data display, and conclusion drawing. The findings revealed that the student tended to avoid reading activities when direct assistance was unavailable. In contrast, the integration of guided reading, purposeful verbal communication, and gradual support based on scaffolding principles encouraged the student to engage with the text, maintain attention, and demonstrate increasing confidence while reading. These findings suggest that the effectiveness of teacher assistance depends more on the teacher's ability to adapt instructional support to students' learning responses than on the implementation of a single instructional strategy. This study contributes to the understanding of verbal communication as a pedagogical mechanism that integrates guided reading, scaffolding, and individualized instruction to facilitate the development of early reading skills among elementary school students experiencing reading difficulties.\nABSTRAK\nKemampuan membaca permulaan berkembang melalui proses belajar yang dipengaruhi oleh kualitas interaksi antara guru dan siswa, terutama ketika peserta didik masih mengalami hambatan membaca secara mandiri. Fenomena tersebut mendorong penelitian ini untuk mendeskripsikan bentuk pendampingan guru dalam membantu kemampuan membaca permulaan pada siswa kelas I SD Islam Al-Ukhuwah Cikarang. Penelitian menggunakan pendekatan kualitatif dengan desain deskriptif yang melibatkan satu guru kelas dan satu siswa sebagai informan yang dipilih secara purposive. Data dihimpun melalui observasi, wawancara, dan dokumentasi, kemudian dianalisis menggunakan model analisis interaktif melalui reduksi data, penyajian data, dan penarikan kesimpulan. Hasil penelitian memperlihatkan bahwa siswa cenderung menghindari aktivitas membaca ketika tidak memperoleh pendampingan secara langsung, sedangkan penerapan guided reading, komunikasi verbal yang terarah, serta pemberian bantuan bertahap berdasarkan prinsip scaffolding mendorong siswa mulai mengikuti bacaan, mempertahankan perhatian, dan menunjukkan keberanian membaca secara bertahap. Temuan ini menegaskan bahwa efektivitas pendampingan lebih ditentukan oleh kemampuan guru menyesuaikan bentuk bantuan sesuai respons belajar siswa daripada oleh penggunaan satu strategi pembelajaran tertentu. Kontribusi penelitian terletak pada penjelasan bahwa komunikasi verbal menjadi mekanisme pedagogis yang mengintegrasikan guided reading, scaffolding, dan pembelajaran individual dalam mendukung perkembangan kemampuan membaca permulaan pada siswa sekolah dasar yang mengalami hambatan membaca.","container-title":"Elementary Jurnal Inovasi Pendidikan Dasar","DOI":"10.51878/elementary.v6i3.11830","ISSN":"2774-7034, 2774-8014","issue":"3","journalAbbreviation":"Elementary J. Inov. Pendidik. Dasar","license":"https://creativecommons.org/licenses/by-sa/4.0/","page":"818-827","source":"DOI.org (Crossref)","title":"Pendampingan Guru dalam Membantu Kemampuan Membaca Permulaan pada Siswa Kelas 1 Sekolah Dasar","volume":"6","author":[{"family":"Ayuningsih","given":"Putri"}],"issued":{"date-parts":[["2026",7,3]]}}}],"schema":"https://github.com/citation-style-language/schema/raw/master/csl-citation.json"} </w:instrText>
      </w:r>
      <w:r w:rsidR="005B231A">
        <w:rPr>
          <w:rFonts w:ascii="Palatino Linotype" w:hAnsi="Palatino Linotype"/>
          <w:bCs/>
          <w:sz w:val="22"/>
          <w:szCs w:val="22"/>
          <w:lang w:val="en-ID"/>
        </w:rPr>
        <w:fldChar w:fldCharType="separate"/>
      </w:r>
      <w:r w:rsidR="005B231A">
        <w:rPr>
          <w:rFonts w:ascii="Palatino Linotype" w:hAnsi="Palatino Linotype"/>
          <w:bCs/>
          <w:noProof/>
          <w:sz w:val="22"/>
          <w:szCs w:val="22"/>
          <w:lang w:val="en-ID"/>
        </w:rPr>
        <w:t>(Ayuningsih, 2026; Othman et al., 2026)</w:t>
      </w:r>
      <w:r w:rsidR="005B231A">
        <w:rPr>
          <w:rFonts w:ascii="Palatino Linotype" w:hAnsi="Palatino Linotype"/>
          <w:bCs/>
          <w:sz w:val="22"/>
          <w:szCs w:val="22"/>
          <w:lang w:val="en-ID"/>
        </w:rPr>
        <w:fldChar w:fldCharType="end"/>
      </w:r>
      <w:r w:rsidRPr="00AD0A28">
        <w:rPr>
          <w:rFonts w:ascii="Palatino Linotype" w:hAnsi="Palatino Linotype"/>
          <w:bCs/>
          <w:sz w:val="22"/>
          <w:szCs w:val="22"/>
          <w:lang w:val="en-ID"/>
        </w:rPr>
        <w:t xml:space="preserve">. These </w:t>
      </w:r>
      <w:proofErr w:type="spellStart"/>
      <w:r w:rsidRPr="00AD0A28">
        <w:rPr>
          <w:rFonts w:ascii="Palatino Linotype" w:hAnsi="Palatino Linotype"/>
          <w:bCs/>
          <w:sz w:val="22"/>
          <w:szCs w:val="22"/>
          <w:lang w:val="en-ID"/>
        </w:rPr>
        <w:t>behaviors</w:t>
      </w:r>
      <w:proofErr w:type="spellEnd"/>
      <w:r w:rsidRPr="00AD0A28">
        <w:rPr>
          <w:rFonts w:ascii="Palatino Linotype" w:hAnsi="Palatino Linotype"/>
          <w:bCs/>
          <w:sz w:val="22"/>
          <w:szCs w:val="22"/>
          <w:lang w:val="en-ID"/>
        </w:rPr>
        <w:t xml:space="preserve"> depend on the interaction between </w:t>
      </w:r>
      <w:r w:rsidR="00B425DE">
        <w:rPr>
          <w:rFonts w:ascii="Palatino Linotype" w:hAnsi="Palatino Linotype"/>
          <w:bCs/>
          <w:sz w:val="22"/>
          <w:szCs w:val="22"/>
          <w:lang w:val="en-ID"/>
        </w:rPr>
        <w:t xml:space="preserve">student worksheet, </w:t>
      </w:r>
      <w:r w:rsidRPr="00AD0A28">
        <w:rPr>
          <w:rFonts w:ascii="Palatino Linotype" w:hAnsi="Palatino Linotype"/>
          <w:bCs/>
          <w:sz w:val="22"/>
          <w:szCs w:val="22"/>
          <w:lang w:val="en-ID"/>
        </w:rPr>
        <w:t>teacher facilitation, student characteristics, and classroom conditions; their development over time would require repeated observation.</w:t>
      </w:r>
      <w:r w:rsidR="005B231A" w:rsidRPr="005B231A">
        <w:t xml:space="preserve"> </w:t>
      </w:r>
    </w:p>
    <w:p w14:paraId="009830B7" w14:textId="77777777" w:rsidR="0087610A" w:rsidRPr="00C4240F" w:rsidRDefault="0087610A" w:rsidP="00AD0A28">
      <w:pPr>
        <w:spacing w:line="360" w:lineRule="auto"/>
        <w:contextualSpacing/>
        <w:jc w:val="both"/>
        <w:rPr>
          <w:rFonts w:ascii="Palatino Linotype" w:hAnsi="Palatino Linotype"/>
          <w:bCs/>
          <w:sz w:val="22"/>
          <w:szCs w:val="22"/>
        </w:rPr>
      </w:pPr>
    </w:p>
    <w:p w14:paraId="69919D24" w14:textId="2313FD36" w:rsidR="0087610A" w:rsidRPr="00C4240F" w:rsidRDefault="0087610A" w:rsidP="00C4240F">
      <w:pPr>
        <w:spacing w:line="360" w:lineRule="auto"/>
        <w:contextualSpacing/>
        <w:jc w:val="both"/>
        <w:rPr>
          <w:rFonts w:ascii="Palatino Linotype" w:hAnsi="Palatino Linotype"/>
          <w:b/>
          <w:sz w:val="22"/>
          <w:szCs w:val="22"/>
        </w:rPr>
      </w:pPr>
      <w:r w:rsidRPr="00C4240F">
        <w:rPr>
          <w:rFonts w:ascii="Palatino Linotype" w:hAnsi="Palatino Linotype"/>
          <w:b/>
          <w:sz w:val="22"/>
          <w:szCs w:val="22"/>
        </w:rPr>
        <w:t>CONCLUSION</w:t>
      </w:r>
    </w:p>
    <w:p w14:paraId="7DCD00EC" w14:textId="342F7539" w:rsidR="00953FC5" w:rsidRPr="00321E1B" w:rsidRDefault="00F01515" w:rsidP="00321E1B">
      <w:pPr>
        <w:spacing w:line="360" w:lineRule="auto"/>
        <w:ind w:firstLine="720"/>
        <w:contextualSpacing/>
        <w:jc w:val="both"/>
        <w:rPr>
          <w:rFonts w:ascii="Palatino Linotype" w:hAnsi="Palatino Linotype"/>
          <w:bCs/>
          <w:sz w:val="22"/>
          <w:szCs w:val="22"/>
        </w:rPr>
      </w:pPr>
      <w:r w:rsidRPr="00321E1B">
        <w:rPr>
          <w:rFonts w:ascii="Palatino Linotype" w:hAnsi="Palatino Linotype"/>
          <w:bCs/>
          <w:sz w:val="22"/>
          <w:szCs w:val="22"/>
        </w:rPr>
        <w:t xml:space="preserve">This study shows that the use of Student Worksheets at State Madrasah </w:t>
      </w:r>
      <w:proofErr w:type="spellStart"/>
      <w:r w:rsidRPr="00321E1B">
        <w:rPr>
          <w:rFonts w:ascii="Palatino Linotype" w:hAnsi="Palatino Linotype"/>
          <w:bCs/>
          <w:sz w:val="22"/>
          <w:szCs w:val="22"/>
        </w:rPr>
        <w:t>Tsanawiyah</w:t>
      </w:r>
      <w:proofErr w:type="spellEnd"/>
      <w:r w:rsidRPr="00321E1B">
        <w:rPr>
          <w:rFonts w:ascii="Palatino Linotype" w:hAnsi="Palatino Linotype"/>
          <w:bCs/>
          <w:sz w:val="22"/>
          <w:szCs w:val="22"/>
        </w:rPr>
        <w:t xml:space="preserve"> 5 in Jambi City is </w:t>
      </w:r>
      <w:r w:rsidR="006E7464" w:rsidRPr="00321E1B">
        <w:rPr>
          <w:rFonts w:ascii="Palatino Linotype" w:hAnsi="Palatino Linotype"/>
          <w:bCs/>
          <w:sz w:val="22"/>
          <w:szCs w:val="22"/>
        </w:rPr>
        <w:t>integral</w:t>
      </w:r>
      <w:r w:rsidRPr="00321E1B">
        <w:rPr>
          <w:rFonts w:ascii="Palatino Linotype" w:hAnsi="Palatino Linotype"/>
          <w:bCs/>
          <w:sz w:val="22"/>
          <w:szCs w:val="22"/>
        </w:rPr>
        <w:t xml:space="preserve"> </w:t>
      </w:r>
      <w:r w:rsidR="006E7464" w:rsidRPr="00321E1B">
        <w:rPr>
          <w:rFonts w:ascii="Palatino Linotype" w:hAnsi="Palatino Linotype"/>
          <w:bCs/>
          <w:sz w:val="22"/>
          <w:szCs w:val="22"/>
        </w:rPr>
        <w:t>to</w:t>
      </w:r>
      <w:r w:rsidRPr="00321E1B">
        <w:rPr>
          <w:rFonts w:ascii="Palatino Linotype" w:hAnsi="Palatino Linotype"/>
          <w:bCs/>
          <w:sz w:val="22"/>
          <w:szCs w:val="22"/>
        </w:rPr>
        <w:t xml:space="preserve"> the learning process </w:t>
      </w:r>
      <w:r w:rsidR="00650B5D" w:rsidRPr="00321E1B">
        <w:rPr>
          <w:rFonts w:ascii="Palatino Linotype" w:hAnsi="Palatino Linotype"/>
          <w:bCs/>
          <w:sz w:val="22"/>
          <w:szCs w:val="22"/>
        </w:rPr>
        <w:t>and</w:t>
      </w:r>
      <w:r w:rsidRPr="00321E1B">
        <w:rPr>
          <w:rFonts w:ascii="Palatino Linotype" w:hAnsi="Palatino Linotype"/>
          <w:bCs/>
          <w:sz w:val="22"/>
          <w:szCs w:val="22"/>
        </w:rPr>
        <w:t xml:space="preserve"> provide</w:t>
      </w:r>
      <w:r w:rsidR="00650B5D" w:rsidRPr="00321E1B">
        <w:rPr>
          <w:rFonts w:ascii="Palatino Linotype" w:hAnsi="Palatino Linotype"/>
          <w:bCs/>
          <w:sz w:val="22"/>
          <w:szCs w:val="22"/>
        </w:rPr>
        <w:t>s</w:t>
      </w:r>
      <w:r w:rsidRPr="00321E1B">
        <w:rPr>
          <w:rFonts w:ascii="Palatino Linotype" w:hAnsi="Palatino Linotype"/>
          <w:bCs/>
          <w:sz w:val="22"/>
          <w:szCs w:val="22"/>
        </w:rPr>
        <w:t xml:space="preserve"> opportunities for students to engage more actively. This utilization </w:t>
      </w:r>
      <w:r w:rsidR="00AD0A28" w:rsidRPr="00321E1B">
        <w:rPr>
          <w:rFonts w:ascii="Palatino Linotype" w:hAnsi="Palatino Linotype"/>
          <w:bCs/>
          <w:sz w:val="22"/>
          <w:szCs w:val="22"/>
        </w:rPr>
        <w:t>involves</w:t>
      </w:r>
      <w:r w:rsidRPr="00321E1B">
        <w:rPr>
          <w:rFonts w:ascii="Palatino Linotype" w:hAnsi="Palatino Linotype"/>
          <w:bCs/>
          <w:sz w:val="22"/>
          <w:szCs w:val="22"/>
        </w:rPr>
        <w:t xml:space="preserve"> teachers, students, and the </w:t>
      </w:r>
      <w:r w:rsidR="00AD0A28" w:rsidRPr="00321E1B">
        <w:rPr>
          <w:rFonts w:ascii="Palatino Linotype" w:hAnsi="Palatino Linotype"/>
          <w:bCs/>
          <w:sz w:val="22"/>
          <w:szCs w:val="22"/>
        </w:rPr>
        <w:t>madrasah's</w:t>
      </w:r>
      <w:r w:rsidRPr="00321E1B">
        <w:rPr>
          <w:rFonts w:ascii="Palatino Linotype" w:hAnsi="Palatino Linotype"/>
          <w:bCs/>
          <w:sz w:val="22"/>
          <w:szCs w:val="22"/>
        </w:rPr>
        <w:t xml:space="preserve"> </w:t>
      </w:r>
      <w:r w:rsidR="00AD0A28" w:rsidRPr="00321E1B">
        <w:rPr>
          <w:rFonts w:ascii="Palatino Linotype" w:hAnsi="Palatino Linotype"/>
          <w:bCs/>
          <w:sz w:val="22"/>
          <w:szCs w:val="22"/>
        </w:rPr>
        <w:t>support</w:t>
      </w:r>
      <w:r w:rsidRPr="00321E1B">
        <w:rPr>
          <w:rFonts w:ascii="Palatino Linotype" w:hAnsi="Palatino Linotype"/>
          <w:bCs/>
          <w:sz w:val="22"/>
          <w:szCs w:val="22"/>
        </w:rPr>
        <w:t>, so that the SWFs serve not only as practice materials but also as an integral part of the learning process</w:t>
      </w:r>
      <w:r w:rsidR="00AD0A28" w:rsidRPr="00321E1B">
        <w:rPr>
          <w:rFonts w:ascii="Palatino Linotype" w:hAnsi="Palatino Linotype"/>
          <w:bCs/>
          <w:sz w:val="22"/>
          <w:szCs w:val="22"/>
        </w:rPr>
        <w:t>,</w:t>
      </w:r>
      <w:r w:rsidRPr="00321E1B">
        <w:rPr>
          <w:rFonts w:ascii="Palatino Linotype" w:hAnsi="Palatino Linotype"/>
          <w:bCs/>
          <w:sz w:val="22"/>
          <w:szCs w:val="22"/>
        </w:rPr>
        <w:t xml:space="preserve"> </w:t>
      </w:r>
      <w:r w:rsidR="00650B5D" w:rsidRPr="00321E1B">
        <w:rPr>
          <w:rFonts w:ascii="Palatino Linotype" w:hAnsi="Palatino Linotype"/>
          <w:bCs/>
          <w:sz w:val="22"/>
          <w:szCs w:val="22"/>
        </w:rPr>
        <w:t>allow</w:t>
      </w:r>
      <w:r w:rsidR="00AD0A28" w:rsidRPr="00321E1B">
        <w:rPr>
          <w:rFonts w:ascii="Palatino Linotype" w:hAnsi="Palatino Linotype"/>
          <w:bCs/>
          <w:sz w:val="22"/>
          <w:szCs w:val="22"/>
        </w:rPr>
        <w:t>ing</w:t>
      </w:r>
      <w:r w:rsidRPr="00321E1B">
        <w:rPr>
          <w:rFonts w:ascii="Palatino Linotype" w:hAnsi="Palatino Linotype"/>
          <w:bCs/>
          <w:sz w:val="22"/>
          <w:szCs w:val="22"/>
        </w:rPr>
        <w:t xml:space="preserve"> students to develop a sense of responsibility for their own learning activities. Thus, the achievement of the research objectives demonstrates that the use of SWFs should be understood as a learning process involving </w:t>
      </w:r>
      <w:r w:rsidR="00650B5D" w:rsidRPr="00321E1B">
        <w:rPr>
          <w:rFonts w:ascii="Palatino Linotype" w:hAnsi="Palatino Linotype"/>
          <w:bCs/>
          <w:sz w:val="22"/>
          <w:szCs w:val="22"/>
        </w:rPr>
        <w:t>interactions</w:t>
      </w:r>
      <w:r w:rsidRPr="00321E1B">
        <w:rPr>
          <w:rFonts w:ascii="Palatino Linotype" w:hAnsi="Palatino Linotype"/>
          <w:bCs/>
          <w:sz w:val="22"/>
          <w:szCs w:val="22"/>
        </w:rPr>
        <w:t xml:space="preserve"> </w:t>
      </w:r>
      <w:r w:rsidR="00650B5D" w:rsidRPr="00321E1B">
        <w:rPr>
          <w:rFonts w:ascii="Palatino Linotype" w:hAnsi="Palatino Linotype"/>
          <w:bCs/>
          <w:sz w:val="22"/>
          <w:szCs w:val="22"/>
        </w:rPr>
        <w:t>among</w:t>
      </w:r>
      <w:r w:rsidRPr="00321E1B">
        <w:rPr>
          <w:rFonts w:ascii="Palatino Linotype" w:hAnsi="Palatino Linotype"/>
          <w:bCs/>
          <w:sz w:val="22"/>
          <w:szCs w:val="22"/>
        </w:rPr>
        <w:t xml:space="preserve"> instructional materials, teacher guidance, and student readiness.</w:t>
      </w:r>
      <w:r w:rsidR="00590C64" w:rsidRPr="00321E1B">
        <w:rPr>
          <w:rFonts w:ascii="Palatino Linotype" w:hAnsi="Palatino Linotype"/>
          <w:bCs/>
          <w:sz w:val="22"/>
          <w:szCs w:val="22"/>
        </w:rPr>
        <w:t xml:space="preserve"> </w:t>
      </w:r>
      <w:r w:rsidRPr="00321E1B">
        <w:rPr>
          <w:rFonts w:ascii="Palatino Linotype" w:hAnsi="Palatino Linotype"/>
          <w:bCs/>
          <w:sz w:val="22"/>
          <w:szCs w:val="22"/>
        </w:rPr>
        <w:t xml:space="preserve">The implications of this study suggest that optimizing the use of worksheets requires attention to </w:t>
      </w:r>
      <w:r w:rsidR="00634BCF" w:rsidRPr="00321E1B">
        <w:rPr>
          <w:rFonts w:ascii="Palatino Linotype" w:hAnsi="Palatino Linotype"/>
          <w:bCs/>
          <w:sz w:val="22"/>
          <w:szCs w:val="22"/>
        </w:rPr>
        <w:t xml:space="preserve">both </w:t>
      </w:r>
      <w:r w:rsidRPr="00321E1B">
        <w:rPr>
          <w:rFonts w:ascii="Palatino Linotype" w:hAnsi="Palatino Linotype"/>
          <w:bCs/>
          <w:sz w:val="22"/>
          <w:szCs w:val="22"/>
        </w:rPr>
        <w:t>the alignment of the material with students’ needs a</w:t>
      </w:r>
      <w:r w:rsidR="00634BCF" w:rsidRPr="00321E1B">
        <w:rPr>
          <w:rFonts w:ascii="Palatino Linotype" w:hAnsi="Palatino Linotype"/>
          <w:bCs/>
          <w:sz w:val="22"/>
          <w:szCs w:val="22"/>
        </w:rPr>
        <w:t>nd</w:t>
      </w:r>
      <w:r w:rsidRPr="00321E1B">
        <w:rPr>
          <w:rFonts w:ascii="Palatino Linotype" w:hAnsi="Palatino Linotype"/>
          <w:bCs/>
          <w:sz w:val="22"/>
          <w:szCs w:val="22"/>
        </w:rPr>
        <w:t xml:space="preserve"> the patterns of teacher guidance during instruction. Teachers and madrasahs can u</w:t>
      </w:r>
      <w:r w:rsidR="00634BCF" w:rsidRPr="00321E1B">
        <w:rPr>
          <w:rFonts w:ascii="Palatino Linotype" w:hAnsi="Palatino Linotype"/>
          <w:bCs/>
          <w:sz w:val="22"/>
          <w:szCs w:val="22"/>
        </w:rPr>
        <w:t>s</w:t>
      </w:r>
      <w:r w:rsidRPr="00321E1B">
        <w:rPr>
          <w:rFonts w:ascii="Palatino Linotype" w:hAnsi="Palatino Linotype"/>
          <w:bCs/>
          <w:sz w:val="22"/>
          <w:szCs w:val="22"/>
        </w:rPr>
        <w:t>e worksheets to provide more active learning opportunities while continuing to offer support tailored to students’ needs. This study also contributes by demonstrating the use of workbooks in real-world learning situations, so that the</w:t>
      </w:r>
      <w:r w:rsidR="00634BCF" w:rsidRPr="00321E1B">
        <w:rPr>
          <w:rFonts w:ascii="Palatino Linotype" w:hAnsi="Palatino Linotype"/>
          <w:bCs/>
          <w:sz w:val="22"/>
          <w:szCs w:val="22"/>
        </w:rPr>
        <w:t>ir</w:t>
      </w:r>
      <w:r w:rsidRPr="00321E1B">
        <w:rPr>
          <w:rFonts w:ascii="Palatino Linotype" w:hAnsi="Palatino Linotype"/>
          <w:bCs/>
          <w:sz w:val="22"/>
          <w:szCs w:val="22"/>
        </w:rPr>
        <w:t xml:space="preserve"> use does not stop at providing practice materials but can be positioned as part of an effort to build a more responsible and independent learning experience.</w:t>
      </w:r>
    </w:p>
    <w:p w14:paraId="1A9C184B" w14:textId="77777777" w:rsidR="00CA5331" w:rsidRPr="00F01515" w:rsidRDefault="00CA5331" w:rsidP="00F01515">
      <w:pPr>
        <w:spacing w:line="360" w:lineRule="auto"/>
        <w:ind w:firstLine="720"/>
        <w:contextualSpacing/>
        <w:jc w:val="both"/>
        <w:rPr>
          <w:rFonts w:ascii="Palatino Linotype" w:hAnsi="Palatino Linotype"/>
          <w:sz w:val="22"/>
          <w:szCs w:val="22"/>
          <w:lang w:val="id-ID"/>
        </w:rPr>
      </w:pPr>
    </w:p>
    <w:p w14:paraId="56314B5B" w14:textId="62C1735F" w:rsidR="000949A6" w:rsidRPr="00594896" w:rsidRDefault="0087610A" w:rsidP="00C4240F">
      <w:pPr>
        <w:spacing w:line="360" w:lineRule="auto"/>
        <w:contextualSpacing/>
        <w:jc w:val="both"/>
        <w:rPr>
          <w:rFonts w:ascii="Palatino Linotype" w:hAnsi="Palatino Linotype"/>
          <w:b/>
          <w:sz w:val="22"/>
          <w:szCs w:val="22"/>
        </w:rPr>
      </w:pPr>
      <w:r w:rsidRPr="00C4240F">
        <w:rPr>
          <w:rFonts w:ascii="Palatino Linotype" w:hAnsi="Palatino Linotype"/>
          <w:b/>
          <w:sz w:val="22"/>
          <w:szCs w:val="22"/>
        </w:rPr>
        <w:t xml:space="preserve">REFERENCES </w:t>
      </w:r>
    </w:p>
    <w:p w14:paraId="2E677D11" w14:textId="77777777" w:rsidR="005B231A" w:rsidRPr="00DC3585" w:rsidRDefault="00B721C5" w:rsidP="00DC3585">
      <w:pPr>
        <w:pStyle w:val="Bibliography"/>
        <w:spacing w:line="240" w:lineRule="auto"/>
        <w:ind w:left="851" w:hanging="851"/>
        <w:contextualSpacing/>
        <w:jc w:val="both"/>
        <w:rPr>
          <w:rFonts w:ascii="Palatino Linotype" w:hAnsi="Palatino Linotype"/>
          <w:sz w:val="22"/>
          <w:szCs w:val="22"/>
          <w:lang w:val="en-US"/>
        </w:rPr>
      </w:pPr>
      <w:r>
        <w:rPr>
          <w:rFonts w:ascii="Garamond" w:hAnsi="Garamond"/>
        </w:rPr>
        <w:fldChar w:fldCharType="begin" w:fldLock="1"/>
      </w:r>
      <w:r w:rsidR="005B231A">
        <w:rPr>
          <w:rFonts w:ascii="Garamond" w:hAnsi="Garamond"/>
        </w:rPr>
        <w:instrText xml:space="preserve"> ADDIN ZOTERO_BIBL {"uncited":[],"omitted":[],"custom":[]} CSL_BIBLIOGRAPHY </w:instrText>
      </w:r>
      <w:r>
        <w:rPr>
          <w:rFonts w:ascii="Garamond" w:hAnsi="Garamond"/>
        </w:rPr>
        <w:fldChar w:fldCharType="separate"/>
      </w:r>
      <w:r w:rsidR="005B231A" w:rsidRPr="00DC3585">
        <w:rPr>
          <w:rFonts w:ascii="Palatino Linotype" w:hAnsi="Palatino Linotype"/>
          <w:sz w:val="22"/>
          <w:szCs w:val="22"/>
          <w:lang w:val="en-US"/>
        </w:rPr>
        <w:t>Adhikari, S. (2026). AlgoRAG: Retrieval-Augmented Generation for Theoretical Computer Science Education -- A Comprehensive Evaluation Framework for Algorithm Analysis and Complexity Theory (Version 1). arXiv. https://doi.org/10.48550/ARXIV.2609.14572</w:t>
      </w:r>
    </w:p>
    <w:p w14:paraId="5335CC64" w14:textId="77777777" w:rsidR="005B231A" w:rsidRPr="00DC3585" w:rsidRDefault="005B231A" w:rsidP="00DC3585">
      <w:pPr>
        <w:pStyle w:val="Bibliography"/>
        <w:spacing w:line="240" w:lineRule="auto"/>
        <w:ind w:left="851" w:hanging="851"/>
        <w:contextualSpacing/>
        <w:jc w:val="both"/>
        <w:rPr>
          <w:rFonts w:ascii="Palatino Linotype" w:hAnsi="Palatino Linotype"/>
          <w:sz w:val="22"/>
          <w:szCs w:val="22"/>
          <w:lang w:val="en-US"/>
        </w:rPr>
      </w:pPr>
      <w:r w:rsidRPr="00DC3585">
        <w:rPr>
          <w:rFonts w:ascii="Palatino Linotype" w:hAnsi="Palatino Linotype"/>
          <w:sz w:val="22"/>
          <w:szCs w:val="22"/>
          <w:lang w:val="en-US"/>
        </w:rPr>
        <w:t>Amanda, P., &amp; Syolendra, D. F. (2025). Development of an E-worksheet Based on Problem-Based Learning with Prompting Question Technique on Chemical Equilibrium Material. Jurnal Pijar Mipa, 20(6), 1015–1021. https://doi.org/10.29303/jpm.v20i6.9801</w:t>
      </w:r>
    </w:p>
    <w:p w14:paraId="51EF02A7" w14:textId="77777777" w:rsidR="005B231A" w:rsidRPr="00DC3585" w:rsidRDefault="005B231A" w:rsidP="00DC3585">
      <w:pPr>
        <w:pStyle w:val="Bibliography"/>
        <w:spacing w:line="240" w:lineRule="auto"/>
        <w:ind w:left="851" w:hanging="851"/>
        <w:contextualSpacing/>
        <w:jc w:val="both"/>
        <w:rPr>
          <w:rFonts w:ascii="Palatino Linotype" w:hAnsi="Palatino Linotype"/>
          <w:sz w:val="22"/>
          <w:szCs w:val="22"/>
          <w:lang w:val="en-US"/>
        </w:rPr>
      </w:pPr>
      <w:r w:rsidRPr="00DC3585">
        <w:rPr>
          <w:rFonts w:ascii="Palatino Linotype" w:hAnsi="Palatino Linotype"/>
          <w:sz w:val="22"/>
          <w:szCs w:val="22"/>
          <w:lang w:val="en-US"/>
        </w:rPr>
        <w:t>Astiti, A. F., Husarida, &amp; Arsyad. (2026). Teacher Mediation of Self-Discipline in Daily Qur’an Memorization Submissions at an Indonesian Madrasah. Al-Tadzkiyyah: Jurnal Pendidikan Islam, 17(3), 543–557. https://doi.org/10.24042/atjpi.v17i3.30540</w:t>
      </w:r>
    </w:p>
    <w:p w14:paraId="594590D7" w14:textId="77777777" w:rsidR="005B231A" w:rsidRPr="00DC3585" w:rsidRDefault="005B231A" w:rsidP="00DC3585">
      <w:pPr>
        <w:pStyle w:val="Bibliography"/>
        <w:spacing w:line="240" w:lineRule="auto"/>
        <w:ind w:left="851" w:hanging="851"/>
        <w:contextualSpacing/>
        <w:jc w:val="both"/>
        <w:rPr>
          <w:rFonts w:ascii="Palatino Linotype" w:hAnsi="Palatino Linotype"/>
          <w:sz w:val="22"/>
          <w:szCs w:val="22"/>
          <w:lang w:val="en-US"/>
        </w:rPr>
      </w:pPr>
      <w:r w:rsidRPr="00DC3585">
        <w:rPr>
          <w:rFonts w:ascii="Palatino Linotype" w:hAnsi="Palatino Linotype"/>
          <w:sz w:val="22"/>
          <w:szCs w:val="22"/>
          <w:lang w:val="en-US"/>
        </w:rPr>
        <w:lastRenderedPageBreak/>
        <w:t>Avedzi, J. E. (2025). Educational Technology, Teaching Practices, and Learning Outcomes in Sub-Saharan Africa: Empirical Insights from Ghana’s Basic Education Classrooms. In Review. https://doi.org/10.21203/rs.3.rs-7330474/v1</w:t>
      </w:r>
    </w:p>
    <w:p w14:paraId="5CD26F94" w14:textId="77777777" w:rsidR="005B231A" w:rsidRPr="00DC3585" w:rsidRDefault="005B231A" w:rsidP="00DC3585">
      <w:pPr>
        <w:pStyle w:val="Bibliography"/>
        <w:spacing w:line="240" w:lineRule="auto"/>
        <w:ind w:left="851" w:hanging="851"/>
        <w:contextualSpacing/>
        <w:jc w:val="both"/>
        <w:rPr>
          <w:rFonts w:ascii="Palatino Linotype" w:hAnsi="Palatino Linotype"/>
          <w:sz w:val="22"/>
          <w:szCs w:val="22"/>
          <w:lang w:val="en-US"/>
        </w:rPr>
      </w:pPr>
      <w:r w:rsidRPr="00DC3585">
        <w:rPr>
          <w:rFonts w:ascii="Palatino Linotype" w:hAnsi="Palatino Linotype"/>
          <w:sz w:val="22"/>
          <w:szCs w:val="22"/>
          <w:lang w:val="en-US"/>
        </w:rPr>
        <w:t>Ayuningsih, P. (2026). Pendampingan Guru dalam Membantu Kemampuan Membaca Permulaan pada Siswa Kelas 1 Sekolah Dasar. Elementary Jurnal Inovasi Pendidikan Dasar, 6(3), 818–827. https://doi.org/10.51878/elementary.v6i3.11830</w:t>
      </w:r>
    </w:p>
    <w:p w14:paraId="100F7B0D" w14:textId="33BF6FC7" w:rsidR="005B231A" w:rsidRPr="00DC3585" w:rsidRDefault="005B231A" w:rsidP="00DC3585">
      <w:pPr>
        <w:pStyle w:val="Bibliography"/>
        <w:spacing w:line="240" w:lineRule="auto"/>
        <w:ind w:left="851" w:hanging="851"/>
        <w:contextualSpacing/>
        <w:jc w:val="both"/>
        <w:rPr>
          <w:rFonts w:ascii="Palatino Linotype" w:hAnsi="Palatino Linotype"/>
          <w:sz w:val="22"/>
          <w:szCs w:val="22"/>
          <w:lang w:val="en-US"/>
        </w:rPr>
      </w:pPr>
      <w:r w:rsidRPr="00DC3585">
        <w:rPr>
          <w:rFonts w:ascii="Palatino Linotype" w:hAnsi="Palatino Linotype"/>
          <w:sz w:val="22"/>
          <w:szCs w:val="22"/>
          <w:lang w:val="en-US"/>
        </w:rPr>
        <w:t xml:space="preserve">Budiman, A. R., Syafril Barus, Petrus Jacob Pattiasina, Syarifuddin Syarifuddin, &amp; Hudson Sidabutar. (2024). Innovation In Education Management </w:t>
      </w:r>
      <w:r w:rsidR="00917A5A">
        <w:rPr>
          <w:rFonts w:ascii="Palatino Linotype" w:hAnsi="Palatino Linotype"/>
          <w:sz w:val="22"/>
          <w:szCs w:val="22"/>
          <w:lang w:val="en-US"/>
        </w:rPr>
        <w:t>t</w:t>
      </w:r>
      <w:r w:rsidRPr="00DC3585">
        <w:rPr>
          <w:rFonts w:ascii="Palatino Linotype" w:hAnsi="Palatino Linotype"/>
          <w:sz w:val="22"/>
          <w:szCs w:val="22"/>
          <w:lang w:val="en-US"/>
        </w:rPr>
        <w:t>o Improve Learning Quality. Jurnal Ilmiah Edukatif, 10(2), 223–236. https://doi.org/10.37567/jie.v10i2.3302</w:t>
      </w:r>
    </w:p>
    <w:p w14:paraId="3CF065FC" w14:textId="77777777" w:rsidR="005B231A" w:rsidRPr="00DC3585" w:rsidRDefault="005B231A" w:rsidP="00DC3585">
      <w:pPr>
        <w:pStyle w:val="Bibliography"/>
        <w:spacing w:line="240" w:lineRule="auto"/>
        <w:ind w:left="851" w:hanging="851"/>
        <w:contextualSpacing/>
        <w:jc w:val="both"/>
        <w:rPr>
          <w:rFonts w:ascii="Palatino Linotype" w:hAnsi="Palatino Linotype"/>
          <w:sz w:val="22"/>
          <w:szCs w:val="22"/>
          <w:lang w:val="en-US"/>
        </w:rPr>
      </w:pPr>
      <w:r w:rsidRPr="00DC3585">
        <w:rPr>
          <w:rFonts w:ascii="Palatino Linotype" w:hAnsi="Palatino Linotype"/>
          <w:sz w:val="22"/>
          <w:szCs w:val="22"/>
          <w:lang w:val="en-US"/>
        </w:rPr>
        <w:t>Creswell, J. W. (2016). Research Design: Qualitative, Quantitavie and Mixed Methods Approaches. Sage Publications.</w:t>
      </w:r>
    </w:p>
    <w:p w14:paraId="6D853A3A" w14:textId="20371AF5" w:rsidR="005B231A" w:rsidRPr="00DC3585" w:rsidRDefault="005B231A" w:rsidP="00DC3585">
      <w:pPr>
        <w:pStyle w:val="Bibliography"/>
        <w:spacing w:line="240" w:lineRule="auto"/>
        <w:ind w:left="851" w:hanging="851"/>
        <w:contextualSpacing/>
        <w:jc w:val="both"/>
        <w:rPr>
          <w:rFonts w:ascii="Palatino Linotype" w:hAnsi="Palatino Linotype"/>
          <w:sz w:val="22"/>
          <w:szCs w:val="22"/>
          <w:lang w:val="en-US"/>
        </w:rPr>
      </w:pPr>
      <w:r w:rsidRPr="00DC3585">
        <w:rPr>
          <w:rFonts w:ascii="Palatino Linotype" w:hAnsi="Palatino Linotype"/>
          <w:sz w:val="22"/>
          <w:szCs w:val="22"/>
          <w:lang w:val="en-US"/>
        </w:rPr>
        <w:t xml:space="preserve">Engada, A. G. C. (2026). Grade 5 Teachers’ Experiences in Addressing Reading Comprehension Difficulties in Geographically Isolated Public Elementary Schools. </w:t>
      </w:r>
      <w:r w:rsidR="00917A5A" w:rsidRPr="00DC3585">
        <w:rPr>
          <w:rFonts w:ascii="Palatino Linotype" w:hAnsi="Palatino Linotype"/>
          <w:sz w:val="22"/>
          <w:szCs w:val="22"/>
          <w:lang w:val="en-US"/>
        </w:rPr>
        <w:t xml:space="preserve">International Journal </w:t>
      </w:r>
      <w:r w:rsidR="00917A5A">
        <w:rPr>
          <w:rFonts w:ascii="Palatino Linotype" w:hAnsi="Palatino Linotype"/>
          <w:sz w:val="22"/>
          <w:szCs w:val="22"/>
          <w:lang w:val="en-US"/>
        </w:rPr>
        <w:t>o</w:t>
      </w:r>
      <w:r w:rsidR="00917A5A" w:rsidRPr="00DC3585">
        <w:rPr>
          <w:rFonts w:ascii="Palatino Linotype" w:hAnsi="Palatino Linotype"/>
          <w:sz w:val="22"/>
          <w:szCs w:val="22"/>
          <w:lang w:val="en-US"/>
        </w:rPr>
        <w:t>f Social Science Humanity &amp; Management Research</w:t>
      </w:r>
      <w:r w:rsidRPr="00DC3585">
        <w:rPr>
          <w:rFonts w:ascii="Palatino Linotype" w:hAnsi="Palatino Linotype"/>
          <w:sz w:val="22"/>
          <w:szCs w:val="22"/>
          <w:lang w:val="en-US"/>
        </w:rPr>
        <w:t>, 05(09). https://doi.org/10.58806/ijsshmr.2026.v5i9n03</w:t>
      </w:r>
    </w:p>
    <w:p w14:paraId="2B17C06D" w14:textId="77777777" w:rsidR="005B231A" w:rsidRPr="00DC3585" w:rsidRDefault="005B231A" w:rsidP="00DC3585">
      <w:pPr>
        <w:pStyle w:val="Bibliography"/>
        <w:spacing w:line="240" w:lineRule="auto"/>
        <w:ind w:left="851" w:hanging="851"/>
        <w:contextualSpacing/>
        <w:jc w:val="both"/>
        <w:rPr>
          <w:rFonts w:ascii="Palatino Linotype" w:hAnsi="Palatino Linotype"/>
          <w:sz w:val="22"/>
          <w:szCs w:val="22"/>
          <w:lang w:val="en-US"/>
        </w:rPr>
      </w:pPr>
      <w:r w:rsidRPr="00DC3585">
        <w:rPr>
          <w:rFonts w:ascii="Palatino Linotype" w:hAnsi="Palatino Linotype"/>
          <w:sz w:val="22"/>
          <w:szCs w:val="22"/>
          <w:lang w:val="en-US"/>
        </w:rPr>
        <w:t>Eullaran, L. (2026). Designing and Iteratively Refining a Teacher-Led Digital Academic Reading Ecosystem: A Design-Based Research Approach to Academic Literacy Development in an Urban Public Senior High School. QualiSearch Journal of Educational Research and Practice. https://doi.org/10.66437/qjerp.v2i9.006</w:t>
      </w:r>
    </w:p>
    <w:p w14:paraId="493DEB17" w14:textId="77777777" w:rsidR="005B231A" w:rsidRPr="00DC3585" w:rsidRDefault="005B231A" w:rsidP="00DC3585">
      <w:pPr>
        <w:pStyle w:val="Bibliography"/>
        <w:spacing w:line="240" w:lineRule="auto"/>
        <w:ind w:left="851" w:hanging="851"/>
        <w:contextualSpacing/>
        <w:jc w:val="both"/>
        <w:rPr>
          <w:rFonts w:ascii="Palatino Linotype" w:hAnsi="Palatino Linotype"/>
          <w:sz w:val="22"/>
          <w:szCs w:val="22"/>
          <w:lang w:val="en-US"/>
        </w:rPr>
      </w:pPr>
      <w:r w:rsidRPr="00DC3585">
        <w:rPr>
          <w:rFonts w:ascii="Palatino Linotype" w:hAnsi="Palatino Linotype"/>
          <w:sz w:val="22"/>
          <w:szCs w:val="22"/>
          <w:lang w:val="en-US"/>
        </w:rPr>
        <w:t>Fadillah, M. A., Usmeldi, U., Festiyed, F., Lufri, L., &amp; Mawardi, M. (2025). Assessment of Teaching Strategies, Utilization of Student Worksheets, and Student Engagement in Science Education. International Journal of Education, Information Technology, and Others, 8(1), 198–207.</w:t>
      </w:r>
    </w:p>
    <w:p w14:paraId="6770B4DC" w14:textId="77777777" w:rsidR="005B231A" w:rsidRPr="00DC3585" w:rsidRDefault="005B231A" w:rsidP="00DC3585">
      <w:pPr>
        <w:pStyle w:val="Bibliography"/>
        <w:spacing w:line="240" w:lineRule="auto"/>
        <w:ind w:left="851" w:hanging="851"/>
        <w:contextualSpacing/>
        <w:jc w:val="both"/>
        <w:rPr>
          <w:rFonts w:ascii="Palatino Linotype" w:hAnsi="Palatino Linotype"/>
          <w:sz w:val="22"/>
          <w:szCs w:val="22"/>
          <w:lang w:val="en-US"/>
        </w:rPr>
      </w:pPr>
      <w:r w:rsidRPr="00DC3585">
        <w:rPr>
          <w:rFonts w:ascii="Palatino Linotype" w:hAnsi="Palatino Linotype"/>
          <w:sz w:val="22"/>
          <w:szCs w:val="22"/>
          <w:lang w:val="en-US"/>
        </w:rPr>
        <w:t>Haryanti, C. F., Wijayanti, P., &amp; Winarti, A. (2023). Pengembangan Lembar Kerja Siswa (LKS) Matematika Braille Berbasis Masalah Dengan Bantuan Audio Untuk Meningkatkan Kemandirian Belajar Siswa Tunanetra. Pi: Mathematics Education Journal, 6(2).</w:t>
      </w:r>
    </w:p>
    <w:p w14:paraId="69D73E27" w14:textId="77777777" w:rsidR="005B231A" w:rsidRPr="00DC3585" w:rsidRDefault="005B231A" w:rsidP="00DC3585">
      <w:pPr>
        <w:pStyle w:val="Bibliography"/>
        <w:spacing w:line="240" w:lineRule="auto"/>
        <w:ind w:left="851" w:hanging="851"/>
        <w:contextualSpacing/>
        <w:jc w:val="both"/>
        <w:rPr>
          <w:rFonts w:ascii="Palatino Linotype" w:hAnsi="Palatino Linotype"/>
          <w:sz w:val="22"/>
          <w:szCs w:val="22"/>
          <w:lang w:val="en-US"/>
        </w:rPr>
      </w:pPr>
      <w:r w:rsidRPr="00DC3585">
        <w:rPr>
          <w:rFonts w:ascii="Palatino Linotype" w:hAnsi="Palatino Linotype"/>
          <w:sz w:val="22"/>
          <w:szCs w:val="22"/>
          <w:lang w:val="en-US"/>
        </w:rPr>
        <w:t>Huberman, A. (2019). Qualitative Data Analysis: A Methods Sourcebook. https://www.sidalc.net/search/Record/KOHA-OAI-ECOSUR:4757/Description</w:t>
      </w:r>
    </w:p>
    <w:p w14:paraId="01783D08" w14:textId="77777777" w:rsidR="005B231A" w:rsidRPr="00DC3585" w:rsidRDefault="005B231A" w:rsidP="00DC3585">
      <w:pPr>
        <w:pStyle w:val="Bibliography"/>
        <w:spacing w:line="240" w:lineRule="auto"/>
        <w:ind w:left="851" w:hanging="851"/>
        <w:contextualSpacing/>
        <w:jc w:val="both"/>
        <w:rPr>
          <w:rFonts w:ascii="Palatino Linotype" w:hAnsi="Palatino Linotype"/>
          <w:sz w:val="22"/>
          <w:szCs w:val="22"/>
          <w:lang w:val="en-US"/>
        </w:rPr>
      </w:pPr>
      <w:r w:rsidRPr="00DC3585">
        <w:rPr>
          <w:rFonts w:ascii="Palatino Linotype" w:hAnsi="Palatino Linotype"/>
          <w:sz w:val="22"/>
          <w:szCs w:val="22"/>
          <w:lang w:val="en-US"/>
        </w:rPr>
        <w:t>Iqbal, S., Naz, S., &amp; Noman, N. U. A. (2026). Quality of Teacher Education: Need Assessment of Early Childhood Pre-Service Teacher Education in Pakistan. Journal of Law &amp; Social Studies, 8(1), 96–105. https://doi.org/10.52279/jlss.08.01.96105</w:t>
      </w:r>
    </w:p>
    <w:p w14:paraId="7CCA0DBB" w14:textId="26E2A1D9" w:rsidR="005B231A" w:rsidRPr="00DC3585" w:rsidRDefault="005B231A" w:rsidP="00DC3585">
      <w:pPr>
        <w:pStyle w:val="Bibliography"/>
        <w:spacing w:line="240" w:lineRule="auto"/>
        <w:ind w:left="851" w:hanging="851"/>
        <w:contextualSpacing/>
        <w:jc w:val="both"/>
        <w:rPr>
          <w:rFonts w:ascii="Palatino Linotype" w:hAnsi="Palatino Linotype"/>
          <w:sz w:val="22"/>
          <w:szCs w:val="22"/>
          <w:lang w:val="en-US"/>
        </w:rPr>
      </w:pPr>
      <w:r w:rsidRPr="00DC3585">
        <w:rPr>
          <w:rFonts w:ascii="Palatino Linotype" w:hAnsi="Palatino Linotype"/>
          <w:sz w:val="22"/>
          <w:szCs w:val="22"/>
          <w:lang w:val="en-US"/>
        </w:rPr>
        <w:t xml:space="preserve">Judijanto, L., Sidabutar, H., &amp; </w:t>
      </w:r>
      <w:proofErr w:type="spellStart"/>
      <w:r w:rsidRPr="00DC3585">
        <w:rPr>
          <w:rFonts w:ascii="Palatino Linotype" w:hAnsi="Palatino Linotype"/>
          <w:sz w:val="22"/>
          <w:szCs w:val="22"/>
          <w:lang w:val="en-US"/>
        </w:rPr>
        <w:t>Kansil</w:t>
      </w:r>
      <w:proofErr w:type="spellEnd"/>
      <w:r w:rsidRPr="00DC3585">
        <w:rPr>
          <w:rFonts w:ascii="Palatino Linotype" w:hAnsi="Palatino Linotype"/>
          <w:sz w:val="22"/>
          <w:szCs w:val="22"/>
          <w:lang w:val="en-US"/>
        </w:rPr>
        <w:t xml:space="preserve">, </w:t>
      </w:r>
      <w:r w:rsidR="00917A5A">
        <w:rPr>
          <w:rFonts w:ascii="Palatino Linotype" w:hAnsi="Palatino Linotype"/>
          <w:sz w:val="22"/>
          <w:szCs w:val="22"/>
          <w:lang w:val="en-US"/>
        </w:rPr>
        <w:t>M</w:t>
      </w:r>
      <w:r w:rsidRPr="00DC3585">
        <w:rPr>
          <w:rFonts w:ascii="Palatino Linotype" w:hAnsi="Palatino Linotype"/>
          <w:sz w:val="22"/>
          <w:szCs w:val="22"/>
          <w:lang w:val="en-US"/>
        </w:rPr>
        <w:t>elda C. (2024). Teacher’s Dilemma: Facing Endless Curriculum Changes. Jurnal Ilmiah Edukatif, 10(2), 201–211. https://doi.org/10.37567/jie.v10i2.3311</w:t>
      </w:r>
    </w:p>
    <w:p w14:paraId="6E7DB71E" w14:textId="77777777" w:rsidR="005B231A" w:rsidRPr="00DC3585" w:rsidRDefault="005B231A" w:rsidP="00DC3585">
      <w:pPr>
        <w:pStyle w:val="Bibliography"/>
        <w:spacing w:line="240" w:lineRule="auto"/>
        <w:ind w:left="851" w:hanging="851"/>
        <w:contextualSpacing/>
        <w:jc w:val="both"/>
        <w:rPr>
          <w:rFonts w:ascii="Palatino Linotype" w:hAnsi="Palatino Linotype"/>
          <w:sz w:val="22"/>
          <w:szCs w:val="22"/>
          <w:lang w:val="en-US"/>
        </w:rPr>
      </w:pPr>
      <w:r w:rsidRPr="00DC3585">
        <w:rPr>
          <w:rFonts w:ascii="Palatino Linotype" w:hAnsi="Palatino Linotype"/>
          <w:sz w:val="22"/>
          <w:szCs w:val="22"/>
          <w:lang w:val="en-US"/>
        </w:rPr>
        <w:t>Juliana, N., Ampera, D., Farihah, Baharuddin, &amp; Sinukaban, V. Y. (2024). Digital Student Worksheets to Improving Students’ Learning Independence. Journal of Education Technology, 8(1), 31–41. https://doi.org/10.23887/jet.v8i1.75433</w:t>
      </w:r>
    </w:p>
    <w:p w14:paraId="67E6ECC3" w14:textId="461C7911" w:rsidR="005B231A" w:rsidRPr="00DC3585" w:rsidRDefault="005B231A" w:rsidP="00DC3585">
      <w:pPr>
        <w:pStyle w:val="Bibliography"/>
        <w:spacing w:line="240" w:lineRule="auto"/>
        <w:ind w:left="851" w:hanging="851"/>
        <w:contextualSpacing/>
        <w:jc w:val="both"/>
        <w:rPr>
          <w:rFonts w:ascii="Palatino Linotype" w:hAnsi="Palatino Linotype"/>
          <w:sz w:val="22"/>
          <w:szCs w:val="22"/>
          <w:lang w:val="en-US"/>
        </w:rPr>
      </w:pPr>
      <w:r w:rsidRPr="00DC3585">
        <w:rPr>
          <w:rFonts w:ascii="Palatino Linotype" w:hAnsi="Palatino Linotype"/>
          <w:sz w:val="22"/>
          <w:szCs w:val="22"/>
          <w:lang w:val="en-US"/>
        </w:rPr>
        <w:t xml:space="preserve">Juliana, N., Ampera, D., &amp; Sinukaban, V. Y. (2024). Digital Student Worksheets to Improving </w:t>
      </w:r>
      <w:proofErr w:type="gramStart"/>
      <w:r w:rsidRPr="00DC3585">
        <w:rPr>
          <w:rFonts w:ascii="Palatino Linotype" w:hAnsi="Palatino Linotype"/>
          <w:sz w:val="22"/>
          <w:szCs w:val="22"/>
          <w:lang w:val="en-US"/>
        </w:rPr>
        <w:t>Students  Learning</w:t>
      </w:r>
      <w:proofErr w:type="gramEnd"/>
      <w:r w:rsidRPr="00DC3585">
        <w:rPr>
          <w:rFonts w:ascii="Palatino Linotype" w:hAnsi="Palatino Linotype"/>
          <w:sz w:val="22"/>
          <w:szCs w:val="22"/>
          <w:lang w:val="en-US"/>
        </w:rPr>
        <w:t xml:space="preserve"> Independence. Journal of Education Technology, 8(1), 31–41.</w:t>
      </w:r>
    </w:p>
    <w:p w14:paraId="2115E037" w14:textId="77777777" w:rsidR="005B231A" w:rsidRPr="00DC3585" w:rsidRDefault="005B231A" w:rsidP="00DC3585">
      <w:pPr>
        <w:pStyle w:val="Bibliography"/>
        <w:spacing w:line="240" w:lineRule="auto"/>
        <w:ind w:left="851" w:hanging="851"/>
        <w:contextualSpacing/>
        <w:jc w:val="both"/>
        <w:rPr>
          <w:rFonts w:ascii="Palatino Linotype" w:hAnsi="Palatino Linotype"/>
          <w:sz w:val="22"/>
          <w:szCs w:val="22"/>
          <w:lang w:val="en-US"/>
        </w:rPr>
      </w:pPr>
      <w:r w:rsidRPr="00DC3585">
        <w:rPr>
          <w:rFonts w:ascii="Palatino Linotype" w:hAnsi="Palatino Linotype"/>
          <w:sz w:val="22"/>
          <w:szCs w:val="22"/>
          <w:lang w:val="en-US"/>
        </w:rPr>
        <w:t>Larasati, S. D., Herpratiwi, &amp; Caswita. (2026). The Effectiveness of Using Problem Based Learning-Based Student Worksheets to Improve Elementary School Students’ Mathematical Problem-Solving Skills. International Journal of Post Axial: Futuristic Teaching and Learning, 1879–1889. https://doi.org/10.59944/postaxial.v4i3.1802</w:t>
      </w:r>
    </w:p>
    <w:p w14:paraId="5F475C9E" w14:textId="77777777" w:rsidR="005B231A" w:rsidRPr="00DC3585" w:rsidRDefault="005B231A" w:rsidP="00DC3585">
      <w:pPr>
        <w:pStyle w:val="Bibliography"/>
        <w:spacing w:line="240" w:lineRule="auto"/>
        <w:ind w:left="851" w:hanging="851"/>
        <w:contextualSpacing/>
        <w:jc w:val="both"/>
        <w:rPr>
          <w:rFonts w:ascii="Palatino Linotype" w:hAnsi="Palatino Linotype"/>
          <w:sz w:val="22"/>
          <w:szCs w:val="22"/>
          <w:lang w:val="en-US"/>
        </w:rPr>
      </w:pPr>
      <w:r w:rsidRPr="00DC3585">
        <w:rPr>
          <w:rFonts w:ascii="Palatino Linotype" w:hAnsi="Palatino Linotype"/>
          <w:sz w:val="22"/>
          <w:szCs w:val="22"/>
          <w:lang w:val="en-US"/>
        </w:rPr>
        <w:t>Lestari, N. A. P., Wati, N. N. K., Sudiana, I. N., &amp; Putrayasa, I. B. (2023). Pengembangan Lembar Kerja Siswa Bahasa Indonesia Berorientasi Keterampilan Proses Dalam Meningkatkan Kemandirian Belajar Siswa SD. Jurnal Ilmiah Pendidikan Citra Bakti, 10(2).</w:t>
      </w:r>
    </w:p>
    <w:p w14:paraId="4FB913E8" w14:textId="77777777" w:rsidR="005B231A" w:rsidRPr="00DC3585" w:rsidRDefault="005B231A" w:rsidP="00DC3585">
      <w:pPr>
        <w:pStyle w:val="Bibliography"/>
        <w:spacing w:line="240" w:lineRule="auto"/>
        <w:ind w:left="851" w:hanging="851"/>
        <w:contextualSpacing/>
        <w:jc w:val="both"/>
        <w:rPr>
          <w:rFonts w:ascii="Palatino Linotype" w:hAnsi="Palatino Linotype"/>
          <w:sz w:val="22"/>
          <w:szCs w:val="22"/>
          <w:lang w:val="en-US"/>
        </w:rPr>
      </w:pPr>
      <w:r w:rsidRPr="00DC3585">
        <w:rPr>
          <w:rFonts w:ascii="Palatino Linotype" w:hAnsi="Palatino Linotype"/>
          <w:sz w:val="22"/>
          <w:szCs w:val="22"/>
          <w:lang w:val="en-US"/>
        </w:rPr>
        <w:t xml:space="preserve">Liestyasari, S. I., Budiati, A. C., Astutik, D., Parahita, B. N., Siregar, R. S., &amp; Gufronuddin, G. (2025). </w:t>
      </w:r>
      <w:r w:rsidRPr="00DC3585">
        <w:rPr>
          <w:rFonts w:ascii="Palatino Linotype" w:hAnsi="Palatino Linotype"/>
          <w:sz w:val="22"/>
          <w:szCs w:val="22"/>
          <w:lang w:val="en-US"/>
        </w:rPr>
        <w:lastRenderedPageBreak/>
        <w:t>The Strategic Role of Teachers in Determining Core Sociology Materials to Create Meaningful Learning. Scaffolding: Jurnal Pendidikan Islam Dan Multikulturalisme, 7(2), 907–928. https://doi.org/10.37680/scaffolding.v7i2.7604</w:t>
      </w:r>
    </w:p>
    <w:p w14:paraId="0A3D8473" w14:textId="77777777" w:rsidR="005B231A" w:rsidRPr="00DC3585" w:rsidRDefault="005B231A" w:rsidP="00DC3585">
      <w:pPr>
        <w:pStyle w:val="Bibliography"/>
        <w:spacing w:line="240" w:lineRule="auto"/>
        <w:ind w:left="851" w:hanging="851"/>
        <w:contextualSpacing/>
        <w:jc w:val="both"/>
        <w:rPr>
          <w:rFonts w:ascii="Palatino Linotype" w:hAnsi="Palatino Linotype"/>
          <w:sz w:val="22"/>
          <w:szCs w:val="22"/>
          <w:lang w:val="en-US"/>
        </w:rPr>
      </w:pPr>
      <w:r w:rsidRPr="00DC3585">
        <w:rPr>
          <w:rFonts w:ascii="Palatino Linotype" w:hAnsi="Palatino Linotype"/>
          <w:sz w:val="22"/>
          <w:szCs w:val="22"/>
          <w:lang w:val="en-US"/>
        </w:rPr>
        <w:t>Milaningsih, M. D., &amp; Sartono, E. K. E. (2025a). RADEC Learning-Based LKPD to Improve Concept Understanding and Learning Independence. Jurnal Pendidikan Indonesia, 14(3).</w:t>
      </w:r>
    </w:p>
    <w:p w14:paraId="750EE918" w14:textId="77777777" w:rsidR="005B231A" w:rsidRPr="00DC3585" w:rsidRDefault="005B231A" w:rsidP="00DC3585">
      <w:pPr>
        <w:pStyle w:val="Bibliography"/>
        <w:spacing w:line="240" w:lineRule="auto"/>
        <w:ind w:left="851" w:hanging="851"/>
        <w:contextualSpacing/>
        <w:jc w:val="both"/>
        <w:rPr>
          <w:rFonts w:ascii="Palatino Linotype" w:hAnsi="Palatino Linotype"/>
          <w:sz w:val="22"/>
          <w:szCs w:val="22"/>
          <w:lang w:val="en-US"/>
        </w:rPr>
      </w:pPr>
      <w:r w:rsidRPr="00DC3585">
        <w:rPr>
          <w:rFonts w:ascii="Palatino Linotype" w:hAnsi="Palatino Linotype"/>
          <w:sz w:val="22"/>
          <w:szCs w:val="22"/>
          <w:lang w:val="en-US"/>
        </w:rPr>
        <w:t>Milaningsih, M. D., &amp; Sartono, E. K. E. (2025b). RADEC Learning-Based LKPD to Improve Concept Understanding and Learning Independence. JPI (Jurnal Pendidikan Indonesia), 14(3), 637–647. https://doi.org/10.23887/jpi-undiksha.v14i3.89152</w:t>
      </w:r>
    </w:p>
    <w:p w14:paraId="58113C32" w14:textId="77777777" w:rsidR="005B231A" w:rsidRPr="00DC3585" w:rsidRDefault="005B231A" w:rsidP="00DC3585">
      <w:pPr>
        <w:pStyle w:val="Bibliography"/>
        <w:spacing w:line="240" w:lineRule="auto"/>
        <w:ind w:left="851" w:hanging="851"/>
        <w:contextualSpacing/>
        <w:jc w:val="both"/>
        <w:rPr>
          <w:rFonts w:ascii="Palatino Linotype" w:hAnsi="Palatino Linotype"/>
          <w:sz w:val="22"/>
          <w:szCs w:val="22"/>
          <w:lang w:val="en-US"/>
        </w:rPr>
      </w:pPr>
      <w:r w:rsidRPr="00DC3585">
        <w:rPr>
          <w:rFonts w:ascii="Palatino Linotype" w:hAnsi="Palatino Linotype"/>
          <w:sz w:val="22"/>
          <w:szCs w:val="22"/>
          <w:lang w:val="en-US"/>
        </w:rPr>
        <w:t>Muti’ah, K., &amp; Ramdhani, D. (2026). Analisis Desain Pembelajaran PAI, Berbasis HOTS pada Materi Syu’abul Iman dalam Meningkatkan Creative Thinking Siswa Kelas X SMAN 1 Mataram. Ihsanika: Jurnal Pendidikan Agama Islam, 4(3), 471–482. https://doi.org/10.59841/ihsanika.v4i3.4237</w:t>
      </w:r>
    </w:p>
    <w:p w14:paraId="283F3B62" w14:textId="19D00819" w:rsidR="005B231A" w:rsidRPr="00DC3585" w:rsidRDefault="005B231A" w:rsidP="00DC3585">
      <w:pPr>
        <w:pStyle w:val="Bibliography"/>
        <w:spacing w:line="240" w:lineRule="auto"/>
        <w:ind w:left="851" w:hanging="851"/>
        <w:contextualSpacing/>
        <w:jc w:val="both"/>
        <w:rPr>
          <w:rFonts w:ascii="Palatino Linotype" w:hAnsi="Palatino Linotype"/>
          <w:sz w:val="22"/>
          <w:szCs w:val="22"/>
          <w:lang w:val="en-US"/>
        </w:rPr>
      </w:pPr>
      <w:r w:rsidRPr="00DC3585">
        <w:rPr>
          <w:rFonts w:ascii="Palatino Linotype" w:hAnsi="Palatino Linotype"/>
          <w:sz w:val="22"/>
          <w:szCs w:val="22"/>
          <w:lang w:val="en-US"/>
        </w:rPr>
        <w:t xml:space="preserve">Ni’matunniza, I., Dewi, N. F. K., &amp; Fitria, E. (2026). Fostering Early Childhood Independence through Constructive Play: A Qualitative Study on Behavioral, Emotional, and Attentional Control. </w:t>
      </w:r>
      <w:proofErr w:type="spellStart"/>
      <w:r w:rsidRPr="00DC3585">
        <w:rPr>
          <w:rFonts w:ascii="Palatino Linotype" w:hAnsi="Palatino Linotype"/>
          <w:sz w:val="22"/>
          <w:szCs w:val="22"/>
          <w:lang w:val="en-US"/>
        </w:rPr>
        <w:t>Abjadia</w:t>
      </w:r>
      <w:proofErr w:type="spellEnd"/>
      <w:r w:rsidRPr="00DC3585">
        <w:rPr>
          <w:rFonts w:ascii="Palatino Linotype" w:hAnsi="Palatino Linotype"/>
          <w:sz w:val="22"/>
          <w:szCs w:val="22"/>
          <w:lang w:val="en-US"/>
        </w:rPr>
        <w:t>: International Journal of Education, 11(3), 1403–1414. https://doi.org/10.18860/abj.v11i3.44669</w:t>
      </w:r>
    </w:p>
    <w:p w14:paraId="1CD5E3B0" w14:textId="77777777" w:rsidR="005B231A" w:rsidRPr="00DC3585" w:rsidRDefault="005B231A" w:rsidP="00DC3585">
      <w:pPr>
        <w:pStyle w:val="Bibliography"/>
        <w:spacing w:line="240" w:lineRule="auto"/>
        <w:ind w:left="851" w:hanging="851"/>
        <w:contextualSpacing/>
        <w:jc w:val="both"/>
        <w:rPr>
          <w:rFonts w:ascii="Palatino Linotype" w:hAnsi="Palatino Linotype"/>
          <w:sz w:val="22"/>
          <w:szCs w:val="22"/>
          <w:lang w:val="en-US"/>
        </w:rPr>
      </w:pPr>
      <w:r w:rsidRPr="00DC3585">
        <w:rPr>
          <w:rFonts w:ascii="Palatino Linotype" w:hAnsi="Palatino Linotype"/>
          <w:sz w:val="22"/>
          <w:szCs w:val="22"/>
          <w:lang w:val="en-US"/>
        </w:rPr>
        <w:t>Núñez-Regueiro, F., Verger, N. B., Bressoux, P., Batruch, A., Bouet, M., Bressan, M., Brown, G., Butera, F., Cherbonnier, A., Darnon, C., Demolliens, M., De Place, A.-L., Desrichard, O., Goron, L., Hémon, B., Huguet, P., Jamet, E., Mazenod, V., Mella-Barraco, N., … Pansu, P. (2025). How Teacher Autonomy Support and Student Creativity Jointly Contribute to Self-Regulated Learning: A Dynamic, Person-environment Fit Perspective. Thinking Skills and Creativity, 58, 101873. https://doi.org/10.1016/j.tsc.2025.101873</w:t>
      </w:r>
    </w:p>
    <w:p w14:paraId="548C9C8C" w14:textId="77777777" w:rsidR="005B231A" w:rsidRPr="00DC3585" w:rsidRDefault="005B231A" w:rsidP="00DC3585">
      <w:pPr>
        <w:pStyle w:val="Bibliography"/>
        <w:spacing w:line="240" w:lineRule="auto"/>
        <w:ind w:left="851" w:hanging="851"/>
        <w:contextualSpacing/>
        <w:jc w:val="both"/>
        <w:rPr>
          <w:rFonts w:ascii="Palatino Linotype" w:hAnsi="Palatino Linotype"/>
          <w:sz w:val="22"/>
          <w:szCs w:val="22"/>
          <w:lang w:val="en-US"/>
        </w:rPr>
      </w:pPr>
      <w:r w:rsidRPr="00DC3585">
        <w:rPr>
          <w:rFonts w:ascii="Palatino Linotype" w:hAnsi="Palatino Linotype"/>
          <w:sz w:val="22"/>
          <w:szCs w:val="22"/>
          <w:lang w:val="en-US"/>
        </w:rPr>
        <w:t>Nurdianah, N., Bakri, M., &amp; Burhan, B. (2026). Analisis Model Pembelajaran Discovery Learning Dalam Pembelajaran IPAS Di Kelas V UPT SPF SD Negeri Parinring Kota Makassar. Bosowa Journal of Education, 6(2), 629–637. https://doi.org/10.35965/bje.v6i2.6143</w:t>
      </w:r>
    </w:p>
    <w:p w14:paraId="315E76E2" w14:textId="77777777" w:rsidR="005B231A" w:rsidRPr="00DC3585" w:rsidRDefault="005B231A" w:rsidP="00DC3585">
      <w:pPr>
        <w:pStyle w:val="Bibliography"/>
        <w:spacing w:line="240" w:lineRule="auto"/>
        <w:ind w:left="851" w:hanging="851"/>
        <w:contextualSpacing/>
        <w:jc w:val="both"/>
        <w:rPr>
          <w:rFonts w:ascii="Palatino Linotype" w:hAnsi="Palatino Linotype"/>
          <w:sz w:val="22"/>
          <w:szCs w:val="22"/>
          <w:lang w:val="en-US"/>
        </w:rPr>
      </w:pPr>
      <w:r w:rsidRPr="00DC3585">
        <w:rPr>
          <w:rFonts w:ascii="Palatino Linotype" w:hAnsi="Palatino Linotype"/>
          <w:sz w:val="22"/>
          <w:szCs w:val="22"/>
          <w:lang w:val="en-US"/>
        </w:rPr>
        <w:t>Othman, N. A., Khalil, S. M., Ali, A. Z. M., Rahman, A. L. A., &amp; Suryanto. (2026). Scaffolding English Communication through Drama-Based Pedagogy: Insights from ESL Lecturers in Malaysian Higher Education. International Journal of Research and Innovation in Social Science, 10(21), 1547–1562. https://doi.org/10.47772/IJRISS.2026.102100128</w:t>
      </w:r>
    </w:p>
    <w:p w14:paraId="100395A5" w14:textId="09567A29" w:rsidR="005B231A" w:rsidRPr="00DC3585" w:rsidRDefault="005B231A" w:rsidP="00DC3585">
      <w:pPr>
        <w:pStyle w:val="Bibliography"/>
        <w:spacing w:line="240" w:lineRule="auto"/>
        <w:ind w:left="851" w:hanging="851"/>
        <w:contextualSpacing/>
        <w:jc w:val="both"/>
        <w:rPr>
          <w:rFonts w:ascii="Palatino Linotype" w:hAnsi="Palatino Linotype"/>
          <w:sz w:val="22"/>
          <w:szCs w:val="22"/>
          <w:lang w:val="en-US"/>
        </w:rPr>
      </w:pPr>
      <w:r w:rsidRPr="00DC3585">
        <w:rPr>
          <w:rFonts w:ascii="Palatino Linotype" w:hAnsi="Palatino Linotype"/>
          <w:sz w:val="22"/>
          <w:szCs w:val="22"/>
          <w:lang w:val="en-US"/>
        </w:rPr>
        <w:t xml:space="preserve">Papamitsiou, Z., &amp; Economides, A. A. (2019). Exploring Autonomous Learning Capacity from </w:t>
      </w:r>
      <w:r w:rsidR="00917A5A">
        <w:rPr>
          <w:rFonts w:ascii="Palatino Linotype" w:hAnsi="Palatino Linotype"/>
          <w:sz w:val="22"/>
          <w:szCs w:val="22"/>
          <w:lang w:val="en-US"/>
        </w:rPr>
        <w:t>a</w:t>
      </w:r>
      <w:r w:rsidRPr="00DC3585">
        <w:rPr>
          <w:rFonts w:ascii="Palatino Linotype" w:hAnsi="Palatino Linotype"/>
          <w:sz w:val="22"/>
          <w:szCs w:val="22"/>
          <w:lang w:val="en-US"/>
        </w:rPr>
        <w:t xml:space="preserve"> Self‐regulated Learning Perspective Using Learning Analytics. British Journal of Educational Technology, 50(6), 3138–3155. https://doi.org/10.1111/bjet.12747</w:t>
      </w:r>
    </w:p>
    <w:p w14:paraId="749090BD" w14:textId="77777777" w:rsidR="005B231A" w:rsidRPr="00DC3585" w:rsidRDefault="005B231A" w:rsidP="00DC3585">
      <w:pPr>
        <w:pStyle w:val="Bibliography"/>
        <w:spacing w:line="240" w:lineRule="auto"/>
        <w:ind w:left="851" w:hanging="851"/>
        <w:contextualSpacing/>
        <w:jc w:val="both"/>
        <w:rPr>
          <w:rFonts w:ascii="Palatino Linotype" w:hAnsi="Palatino Linotype"/>
          <w:sz w:val="22"/>
          <w:szCs w:val="22"/>
          <w:lang w:val="en-US"/>
        </w:rPr>
      </w:pPr>
      <w:r w:rsidRPr="00DC3585">
        <w:rPr>
          <w:rFonts w:ascii="Palatino Linotype" w:hAnsi="Palatino Linotype"/>
          <w:sz w:val="22"/>
          <w:szCs w:val="22"/>
          <w:lang w:val="en-US"/>
        </w:rPr>
        <w:t>Perez, A. D., Dela Cruz, M. A. A., &amp; Libit, A. J. L. (2026). A Three-Year Institutional Needs Assessment of the Personal-Social, Academic, and Career Concerns of Basic Education Learners. Cognizance Journal of Multidisciplinary Studies, 6(7), 499–515. https://doi.org/10.47760/cognizance.2026.v06i07.023</w:t>
      </w:r>
    </w:p>
    <w:p w14:paraId="690D8C88" w14:textId="77777777" w:rsidR="005B231A" w:rsidRPr="00DC3585" w:rsidRDefault="005B231A" w:rsidP="00DC3585">
      <w:pPr>
        <w:pStyle w:val="Bibliography"/>
        <w:spacing w:line="240" w:lineRule="auto"/>
        <w:ind w:left="851" w:hanging="851"/>
        <w:contextualSpacing/>
        <w:jc w:val="both"/>
        <w:rPr>
          <w:rFonts w:ascii="Palatino Linotype" w:hAnsi="Palatino Linotype"/>
          <w:sz w:val="22"/>
          <w:szCs w:val="22"/>
          <w:lang w:val="en-US"/>
        </w:rPr>
      </w:pPr>
      <w:r w:rsidRPr="00DC3585">
        <w:rPr>
          <w:rFonts w:ascii="Palatino Linotype" w:hAnsi="Palatino Linotype"/>
          <w:sz w:val="22"/>
          <w:szCs w:val="22"/>
          <w:lang w:val="en-US"/>
        </w:rPr>
        <w:t>Porubčanová, D., Hanuliaková, J., &amp; Trzeciak, D. (2026). Positive Education and Creative Financial Reasoning: An Exploratory Case Study in a Slovak Vocational-School Residence. Archives Des Sciences: A Multidisciplinary Journal, 76(3), 26–34. https://doi.org/10.68304/as/76304</w:t>
      </w:r>
    </w:p>
    <w:p w14:paraId="47D53092" w14:textId="77777777" w:rsidR="005B231A" w:rsidRPr="00DC3585" w:rsidRDefault="005B231A" w:rsidP="00DC3585">
      <w:pPr>
        <w:pStyle w:val="Bibliography"/>
        <w:spacing w:line="240" w:lineRule="auto"/>
        <w:ind w:left="851" w:hanging="851"/>
        <w:contextualSpacing/>
        <w:jc w:val="both"/>
        <w:rPr>
          <w:rFonts w:ascii="Palatino Linotype" w:hAnsi="Palatino Linotype"/>
          <w:sz w:val="22"/>
          <w:szCs w:val="22"/>
          <w:lang w:val="en-US"/>
        </w:rPr>
      </w:pPr>
      <w:r w:rsidRPr="00DC3585">
        <w:rPr>
          <w:rFonts w:ascii="Palatino Linotype" w:hAnsi="Palatino Linotype"/>
          <w:sz w:val="22"/>
          <w:szCs w:val="22"/>
          <w:lang w:val="en-US"/>
        </w:rPr>
        <w:t>Rahman, M., Badu, S. Q., &amp; Katili, N. (2026). The Effect of Self-Regulated Learning Approach on Students’ Mathematical Understanding. Journal of Innovative Mathematics Learning, 9(3), 654–664. https://doi.org/10.22460/jiml.v9i3.32284</w:t>
      </w:r>
    </w:p>
    <w:p w14:paraId="58B531D8" w14:textId="77777777" w:rsidR="005B231A" w:rsidRPr="00DC3585" w:rsidRDefault="005B231A" w:rsidP="00DC3585">
      <w:pPr>
        <w:pStyle w:val="Bibliography"/>
        <w:spacing w:line="240" w:lineRule="auto"/>
        <w:ind w:left="851" w:hanging="851"/>
        <w:contextualSpacing/>
        <w:jc w:val="both"/>
        <w:rPr>
          <w:rFonts w:ascii="Palatino Linotype" w:hAnsi="Palatino Linotype"/>
          <w:sz w:val="22"/>
          <w:szCs w:val="22"/>
          <w:lang w:val="en-US"/>
        </w:rPr>
      </w:pPr>
      <w:r w:rsidRPr="00DC3585">
        <w:rPr>
          <w:rFonts w:ascii="Palatino Linotype" w:hAnsi="Palatino Linotype"/>
          <w:sz w:val="22"/>
          <w:szCs w:val="22"/>
          <w:lang w:val="en-US"/>
        </w:rPr>
        <w:t>Rappa, N. A., Nonis, K. P., Tang, K., Cooper, G., Cooper, M., &amp; Sims, C. (2026). Can Generative AI Support the Learning Agency of Students with Disability? A Case Study of an Australian Secondary School. British Journal of Educational Technology, 57(4), 924–942. https://doi.org/10.1111/bjet.70048</w:t>
      </w:r>
    </w:p>
    <w:p w14:paraId="3A461F62" w14:textId="77777777" w:rsidR="005B231A" w:rsidRPr="00DC3585" w:rsidRDefault="005B231A" w:rsidP="00DC3585">
      <w:pPr>
        <w:pStyle w:val="Bibliography"/>
        <w:spacing w:line="240" w:lineRule="auto"/>
        <w:ind w:left="851" w:hanging="851"/>
        <w:contextualSpacing/>
        <w:jc w:val="both"/>
        <w:rPr>
          <w:rFonts w:ascii="Palatino Linotype" w:hAnsi="Palatino Linotype"/>
          <w:sz w:val="22"/>
          <w:szCs w:val="22"/>
          <w:lang w:val="en-US"/>
        </w:rPr>
      </w:pPr>
      <w:r w:rsidRPr="00DC3585">
        <w:rPr>
          <w:rFonts w:ascii="Palatino Linotype" w:hAnsi="Palatino Linotype"/>
          <w:sz w:val="22"/>
          <w:szCs w:val="22"/>
          <w:lang w:val="en-US"/>
        </w:rPr>
        <w:t xml:space="preserve">Rasyidi, R., Hafizoh, A., Binti Masrom, M., Astuti, D., Narongraksakhet, I., Husti, I., &amp; Nurhaliza, </w:t>
      </w:r>
      <w:r w:rsidRPr="00DC3585">
        <w:rPr>
          <w:rFonts w:ascii="Palatino Linotype" w:hAnsi="Palatino Linotype"/>
          <w:sz w:val="22"/>
          <w:szCs w:val="22"/>
          <w:lang w:val="en-US"/>
        </w:rPr>
        <w:lastRenderedPageBreak/>
        <w:t>A. (2025). Inquiry-Based Learning Method: Is It Effective to Improve Madrasa Teacher Social Competence in Students-Centered Learning? Journal of Instruction and Islamic Religious Education, 1(1), 29–44. https://doi.org/10.63826/jiire.v1i1.4</w:t>
      </w:r>
    </w:p>
    <w:p w14:paraId="2F2ECC5E" w14:textId="77777777" w:rsidR="005B231A" w:rsidRPr="00DC3585" w:rsidRDefault="005B231A" w:rsidP="00DC3585">
      <w:pPr>
        <w:pStyle w:val="Bibliography"/>
        <w:spacing w:line="240" w:lineRule="auto"/>
        <w:ind w:left="851" w:hanging="851"/>
        <w:contextualSpacing/>
        <w:jc w:val="both"/>
        <w:rPr>
          <w:rFonts w:ascii="Palatino Linotype" w:hAnsi="Palatino Linotype"/>
          <w:sz w:val="22"/>
          <w:szCs w:val="22"/>
          <w:lang w:val="en-US"/>
        </w:rPr>
      </w:pPr>
      <w:r w:rsidRPr="00DC3585">
        <w:rPr>
          <w:rFonts w:ascii="Palatino Linotype" w:hAnsi="Palatino Linotype"/>
          <w:sz w:val="22"/>
          <w:szCs w:val="22"/>
          <w:lang w:val="en-US"/>
        </w:rPr>
        <w:t>Rizkiah, P. H., Samsudin, A., &amp; Hidayat, W. (2026). Visual Discovery Learning with Canva to Enhance Science Understanding and Self Regulated Learning. Jurnal Elementaria Edukasia, 9(2), 211–221. https://doi.org/10.31949/jee.v9i2.17964</w:t>
      </w:r>
    </w:p>
    <w:p w14:paraId="3162FCDA" w14:textId="77777777" w:rsidR="005B231A" w:rsidRPr="00DC3585" w:rsidRDefault="005B231A" w:rsidP="00DC3585">
      <w:pPr>
        <w:pStyle w:val="Bibliography"/>
        <w:spacing w:line="240" w:lineRule="auto"/>
        <w:ind w:left="851" w:hanging="851"/>
        <w:contextualSpacing/>
        <w:jc w:val="both"/>
        <w:rPr>
          <w:rFonts w:ascii="Palatino Linotype" w:hAnsi="Palatino Linotype"/>
          <w:sz w:val="22"/>
          <w:szCs w:val="22"/>
          <w:lang w:val="en-US"/>
        </w:rPr>
      </w:pPr>
      <w:r w:rsidRPr="00DC3585">
        <w:rPr>
          <w:rFonts w:ascii="Palatino Linotype" w:hAnsi="Palatino Linotype"/>
          <w:sz w:val="22"/>
          <w:szCs w:val="22"/>
          <w:lang w:val="en-US"/>
        </w:rPr>
        <w:t>Rowe, D. A., McNaught, J., Yoho, L. M., Davis, M., &amp; Mazzotti, V. L. (2018). Helping Students Make Informed Decisions About Transition Via Web-Based Resources. Career Development and Transition for Exceptional Individuals, 41(4), 252–259. https://doi.org/10.1177/2165143417736266</w:t>
      </w:r>
    </w:p>
    <w:p w14:paraId="3D8B14B5" w14:textId="77777777" w:rsidR="005B231A" w:rsidRPr="00DC3585" w:rsidRDefault="005B231A" w:rsidP="00DC3585">
      <w:pPr>
        <w:pStyle w:val="Bibliography"/>
        <w:spacing w:line="240" w:lineRule="auto"/>
        <w:ind w:left="851" w:hanging="851"/>
        <w:contextualSpacing/>
        <w:jc w:val="both"/>
        <w:rPr>
          <w:rFonts w:ascii="Palatino Linotype" w:hAnsi="Palatino Linotype"/>
          <w:sz w:val="22"/>
          <w:szCs w:val="22"/>
          <w:lang w:val="en-US"/>
        </w:rPr>
      </w:pPr>
      <w:r w:rsidRPr="00DC3585">
        <w:rPr>
          <w:rFonts w:ascii="Palatino Linotype" w:hAnsi="Palatino Linotype"/>
          <w:sz w:val="22"/>
          <w:szCs w:val="22"/>
          <w:lang w:val="en-US"/>
        </w:rPr>
        <w:t>Sihotang, A. S., &amp; Rambe, A. H. (2025). Development of Inquiry-Based Student Worksheets (Lkpd) on The Material of Changes in the State of Substance to Improve Critical Thinking Abilities. Educazione: Journal of Education and Learning, 3(2), 177–187. https://doi.org/10.61987/educazione.v3i1.2441</w:t>
      </w:r>
    </w:p>
    <w:p w14:paraId="1BA6319B" w14:textId="16648EFE" w:rsidR="005B231A" w:rsidRPr="00DC3585" w:rsidRDefault="005B231A" w:rsidP="00DC3585">
      <w:pPr>
        <w:pStyle w:val="Bibliography"/>
        <w:spacing w:line="240" w:lineRule="auto"/>
        <w:ind w:left="851" w:hanging="851"/>
        <w:contextualSpacing/>
        <w:jc w:val="both"/>
        <w:rPr>
          <w:rFonts w:ascii="Palatino Linotype" w:hAnsi="Palatino Linotype"/>
          <w:sz w:val="22"/>
          <w:szCs w:val="22"/>
          <w:lang w:val="en-US"/>
        </w:rPr>
      </w:pPr>
      <w:r w:rsidRPr="00DC3585">
        <w:rPr>
          <w:rFonts w:ascii="Palatino Linotype" w:hAnsi="Palatino Linotype"/>
          <w:sz w:val="22"/>
          <w:szCs w:val="22"/>
          <w:lang w:val="en-US"/>
        </w:rPr>
        <w:t>Sulaiman, F., &amp; Hamed, H. (2026). Exploring Learners’ Experiences of VARK-Based Activities in Story Comprehension:</w:t>
      </w:r>
      <w:r w:rsidR="00917A5A">
        <w:rPr>
          <w:rFonts w:ascii="Palatino Linotype" w:hAnsi="Palatino Linotype"/>
          <w:sz w:val="22"/>
          <w:szCs w:val="22"/>
          <w:lang w:val="en-US"/>
        </w:rPr>
        <w:t xml:space="preserve"> </w:t>
      </w:r>
      <w:r w:rsidRPr="00DC3585">
        <w:rPr>
          <w:rFonts w:ascii="Palatino Linotype" w:hAnsi="Palatino Linotype"/>
          <w:sz w:val="22"/>
          <w:szCs w:val="22"/>
          <w:lang w:val="en-US"/>
        </w:rPr>
        <w:t>A Qualitative Study. International Journal of Research and Innovation in Social Science, 10(21), 1870–1877. https://doi.org/10.47772/IJRISS.2026.102100155</w:t>
      </w:r>
    </w:p>
    <w:p w14:paraId="51C9D695" w14:textId="2ACE5F98" w:rsidR="005B231A" w:rsidRPr="00DC3585" w:rsidRDefault="005B231A" w:rsidP="00DC3585">
      <w:pPr>
        <w:pStyle w:val="Bibliography"/>
        <w:spacing w:line="240" w:lineRule="auto"/>
        <w:ind w:left="851" w:hanging="851"/>
        <w:contextualSpacing/>
        <w:jc w:val="both"/>
        <w:rPr>
          <w:rFonts w:ascii="Palatino Linotype" w:hAnsi="Palatino Linotype"/>
          <w:sz w:val="22"/>
          <w:szCs w:val="22"/>
          <w:lang w:val="en-US"/>
        </w:rPr>
      </w:pPr>
      <w:r w:rsidRPr="00DC3585">
        <w:rPr>
          <w:rFonts w:ascii="Palatino Linotype" w:hAnsi="Palatino Linotype"/>
          <w:sz w:val="22"/>
          <w:szCs w:val="22"/>
          <w:lang w:val="en-US"/>
        </w:rPr>
        <w:t xml:space="preserve">Sunarti, T., Aisha, A. R., Safitri, A. N., Febrianti, I., &amp; Septianis, R. D. (2026). Penerapan Praktikum Simulasi Gunung Meletus untuk Meningkatkan Keterlibatan dan Pemahaman IPA Siswa Kelas V Sekolah Dasar. </w:t>
      </w:r>
      <w:proofErr w:type="spellStart"/>
      <w:r w:rsidRPr="00DC3585">
        <w:rPr>
          <w:rFonts w:ascii="Palatino Linotype" w:hAnsi="Palatino Linotype"/>
          <w:sz w:val="22"/>
          <w:szCs w:val="22"/>
          <w:lang w:val="en-US"/>
        </w:rPr>
        <w:t>Perspektif</w:t>
      </w:r>
      <w:proofErr w:type="spellEnd"/>
      <w:r w:rsidRPr="00DC3585">
        <w:rPr>
          <w:rFonts w:ascii="Palatino Linotype" w:hAnsi="Palatino Linotype"/>
          <w:sz w:val="22"/>
          <w:szCs w:val="22"/>
          <w:lang w:val="en-US"/>
        </w:rPr>
        <w:t xml:space="preserve">: </w:t>
      </w:r>
      <w:proofErr w:type="spellStart"/>
      <w:r w:rsidRPr="00DC3585">
        <w:rPr>
          <w:rFonts w:ascii="Palatino Linotype" w:hAnsi="Palatino Linotype"/>
          <w:sz w:val="22"/>
          <w:szCs w:val="22"/>
          <w:lang w:val="en-US"/>
        </w:rPr>
        <w:t>Jurnal</w:t>
      </w:r>
      <w:proofErr w:type="spellEnd"/>
      <w:r w:rsidRPr="00DC3585">
        <w:rPr>
          <w:rFonts w:ascii="Palatino Linotype" w:hAnsi="Palatino Linotype"/>
          <w:sz w:val="22"/>
          <w:szCs w:val="22"/>
          <w:lang w:val="en-US"/>
        </w:rPr>
        <w:t xml:space="preserve"> Pendidikan Dan Ilmu Bahasa, 4(3), 51–58. https://doi.org/10.59059/perspektif.v4i3.3415</w:t>
      </w:r>
    </w:p>
    <w:p w14:paraId="4739F2B6" w14:textId="77777777" w:rsidR="005B231A" w:rsidRPr="00DC3585" w:rsidRDefault="005B231A" w:rsidP="00DC3585">
      <w:pPr>
        <w:pStyle w:val="Bibliography"/>
        <w:spacing w:line="240" w:lineRule="auto"/>
        <w:ind w:left="851" w:hanging="851"/>
        <w:contextualSpacing/>
        <w:jc w:val="both"/>
        <w:rPr>
          <w:rFonts w:ascii="Palatino Linotype" w:hAnsi="Palatino Linotype"/>
          <w:sz w:val="22"/>
          <w:szCs w:val="22"/>
          <w:lang w:val="en-US"/>
        </w:rPr>
      </w:pPr>
      <w:r w:rsidRPr="00DC3585">
        <w:rPr>
          <w:rFonts w:ascii="Palatino Linotype" w:hAnsi="Palatino Linotype"/>
          <w:sz w:val="22"/>
          <w:szCs w:val="22"/>
          <w:lang w:val="en-US"/>
        </w:rPr>
        <w:t>Tao, R., &amp; Yan, H. W. (2026). Investigating the Relationship Between Social Links and University Students’ Sport Participation Intentions: A Moderated Mediation Model. Sage Open, 16(4), 21582440261496009. https://doi.org/10.1177/21582440261496009</w:t>
      </w:r>
    </w:p>
    <w:p w14:paraId="15210F21" w14:textId="77777777" w:rsidR="005B231A" w:rsidRPr="00DC3585" w:rsidRDefault="005B231A" w:rsidP="00DC3585">
      <w:pPr>
        <w:pStyle w:val="Bibliography"/>
        <w:spacing w:line="240" w:lineRule="auto"/>
        <w:ind w:left="851" w:hanging="851"/>
        <w:contextualSpacing/>
        <w:jc w:val="both"/>
        <w:rPr>
          <w:rFonts w:ascii="Palatino Linotype" w:hAnsi="Palatino Linotype"/>
          <w:sz w:val="22"/>
          <w:szCs w:val="22"/>
          <w:lang w:val="en-US"/>
        </w:rPr>
      </w:pPr>
      <w:r w:rsidRPr="00DC3585">
        <w:rPr>
          <w:rFonts w:ascii="Palatino Linotype" w:hAnsi="Palatino Linotype"/>
          <w:sz w:val="22"/>
          <w:szCs w:val="22"/>
          <w:lang w:val="en-US"/>
        </w:rPr>
        <w:t>Tunsakul, K., &amp; Tunsakul, K. (2026). Policy-Driven Workforce Development and Integrated Skills as Predictors of Workforce Readiness in Thailand’s Digital Economy. Human Behavior, Development and Society, 27(3), 286930. https://doi.org/10.62370/hbds.v27i3.286930</w:t>
      </w:r>
    </w:p>
    <w:p w14:paraId="304E24C1" w14:textId="77777777" w:rsidR="005B231A" w:rsidRPr="00DC3585" w:rsidRDefault="005B231A" w:rsidP="00DC3585">
      <w:pPr>
        <w:pStyle w:val="Bibliography"/>
        <w:spacing w:line="240" w:lineRule="auto"/>
        <w:ind w:left="851" w:hanging="851"/>
        <w:contextualSpacing/>
        <w:jc w:val="both"/>
        <w:rPr>
          <w:rFonts w:ascii="Palatino Linotype" w:hAnsi="Palatino Linotype"/>
          <w:sz w:val="22"/>
          <w:szCs w:val="22"/>
          <w:lang w:val="en-US"/>
        </w:rPr>
      </w:pPr>
      <w:r w:rsidRPr="00DC3585">
        <w:rPr>
          <w:rFonts w:ascii="Palatino Linotype" w:hAnsi="Palatino Linotype"/>
          <w:sz w:val="22"/>
          <w:szCs w:val="22"/>
          <w:lang w:val="en-US"/>
        </w:rPr>
        <w:t>Yulianingsih, T., &amp; Fathiyah, K. N. (2025). Learning independence: The influence of parental social support and self-regulation. Jurnal Inovasi Teknologi Pendidikan, 12(2), 117–131. https://doi.org/10.21831/jitp.v12i2.83713</w:t>
      </w:r>
    </w:p>
    <w:p w14:paraId="40E4C9B1" w14:textId="4A362256" w:rsidR="005B231A" w:rsidRPr="005B231A" w:rsidRDefault="005B231A" w:rsidP="00DC3585">
      <w:pPr>
        <w:pStyle w:val="Bibliography"/>
        <w:spacing w:line="240" w:lineRule="auto"/>
        <w:ind w:left="851" w:hanging="851"/>
        <w:contextualSpacing/>
        <w:jc w:val="both"/>
        <w:rPr>
          <w:sz w:val="24"/>
          <w:lang w:val="en-US"/>
        </w:rPr>
      </w:pPr>
      <w:r w:rsidRPr="00DC3585">
        <w:rPr>
          <w:rFonts w:ascii="Palatino Linotype" w:hAnsi="Palatino Linotype"/>
          <w:sz w:val="22"/>
          <w:szCs w:val="22"/>
          <w:lang w:val="en-US"/>
        </w:rPr>
        <w:t>Yustiana, S., &amp; Afandi, M. (2026). Gamified Digital Worksheets with AI Feedback Support for Active Learning in Elementary Civic Education. IJORER: International Journal of Recent Educational Research, 7(4), 426–435. https://doi.org/10.46245/ijorer.v7i4.1512</w:t>
      </w:r>
    </w:p>
    <w:p w14:paraId="51BC33A7" w14:textId="241A7361" w:rsidR="0087610A" w:rsidRDefault="00B721C5" w:rsidP="002E2796">
      <w:pPr>
        <w:pStyle w:val="Bibliography"/>
        <w:spacing w:line="240" w:lineRule="auto"/>
        <w:jc w:val="both"/>
        <w:rPr>
          <w:rFonts w:ascii="Garamond" w:hAnsi="Garamond"/>
          <w:sz w:val="24"/>
          <w:szCs w:val="24"/>
        </w:rPr>
      </w:pPr>
      <w:r>
        <w:rPr>
          <w:rFonts w:ascii="Garamond" w:hAnsi="Garamond"/>
          <w:sz w:val="24"/>
          <w:szCs w:val="24"/>
        </w:rPr>
        <w:fldChar w:fldCharType="end"/>
      </w:r>
    </w:p>
    <w:p w14:paraId="49C46AA4" w14:textId="0F3BE408" w:rsidR="00F017E2" w:rsidRDefault="00F017E2" w:rsidP="002E2796">
      <w:pPr>
        <w:spacing w:line="240" w:lineRule="auto"/>
        <w:jc w:val="both"/>
        <w:rPr>
          <w:rFonts w:ascii="Garamond" w:hAnsi="Garamond"/>
          <w:sz w:val="24"/>
          <w:szCs w:val="24"/>
        </w:rPr>
      </w:pPr>
    </w:p>
    <w:p w14:paraId="64B391E9" w14:textId="77777777" w:rsidR="0087610A" w:rsidRPr="00C20B16" w:rsidRDefault="0087610A" w:rsidP="002E2796">
      <w:pPr>
        <w:spacing w:line="240" w:lineRule="auto"/>
        <w:jc w:val="both"/>
        <w:rPr>
          <w:rFonts w:ascii="Garamond" w:eastAsia="Times New Roman" w:hAnsi="Garamond"/>
          <w:sz w:val="24"/>
          <w:szCs w:val="24"/>
        </w:rPr>
      </w:pPr>
    </w:p>
    <w:sectPr w:rsidR="0087610A" w:rsidRPr="00C20B16" w:rsidSect="00EF56CC">
      <w:headerReference w:type="even" r:id="rId11"/>
      <w:headerReference w:type="default" r:id="rId12"/>
      <w:footerReference w:type="even" r:id="rId13"/>
      <w:footerReference w:type="default" r:id="rId14"/>
      <w:headerReference w:type="first" r:id="rId15"/>
      <w:footerReference w:type="first" r:id="rId16"/>
      <w:pgSz w:w="11907" w:h="16840" w:code="9"/>
      <w:pgMar w:top="1701" w:right="1134" w:bottom="1134" w:left="1134" w:header="567" w:footer="567" w:gutter="0"/>
      <w:pgNumType w:start="1289"/>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14B59F" w14:textId="77777777" w:rsidR="00D71107" w:rsidRDefault="00D71107">
      <w:pPr>
        <w:spacing w:line="240" w:lineRule="auto"/>
      </w:pPr>
      <w:r>
        <w:separator/>
      </w:r>
    </w:p>
  </w:endnote>
  <w:endnote w:type="continuationSeparator" w:id="0">
    <w:p w14:paraId="328887C2" w14:textId="77777777" w:rsidR="00D71107" w:rsidRDefault="00D7110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onstantia">
    <w:panose1 w:val="02030602050306030303"/>
    <w:charset w:val="00"/>
    <w:family w:val="roman"/>
    <w:pitch w:val="variable"/>
    <w:sig w:usb0="A00002EF" w:usb1="40002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notTrueType/>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2" w:usb2="00000000" w:usb3="00000000" w:csb0="0000009F" w:csb1="00000000"/>
  </w:font>
  <w:font w:name="Tempus Sans ITC">
    <w:panose1 w:val="04020404030007020202"/>
    <w:charset w:val="4D"/>
    <w:family w:val="decorativ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23A1F" w14:textId="368B605D" w:rsidR="005037E2" w:rsidRPr="002B1A7D" w:rsidRDefault="005037E2" w:rsidP="006261EA">
    <w:pPr>
      <w:pStyle w:val="Header"/>
      <w:spacing w:after="0" w:line="240" w:lineRule="auto"/>
      <w:rPr>
        <w:rFonts w:ascii="Palatino Linotype" w:hAnsi="Palatino Linotype"/>
        <w:i/>
        <w:iCs/>
        <w:sz w:val="22"/>
        <w:szCs w:val="22"/>
      </w:rPr>
    </w:pPr>
    <w:r w:rsidRPr="002B1A7D">
      <w:rPr>
        <w:rFonts w:ascii="Palatino Linotype" w:hAnsi="Palatino Linotype"/>
      </w:rPr>
      <mc:AlternateContent>
        <mc:Choice Requires="wps">
          <w:drawing>
            <wp:anchor distT="0" distB="0" distL="114297" distR="114297" simplePos="0" relativeHeight="251659264" behindDoc="0" locked="0" layoutInCell="1" allowOverlap="1" wp14:anchorId="7E8A98AF" wp14:editId="26106F75">
              <wp:simplePos x="0" y="0"/>
              <wp:positionH relativeFrom="column">
                <wp:posOffset>214629</wp:posOffset>
              </wp:positionH>
              <wp:positionV relativeFrom="paragraph">
                <wp:posOffset>0</wp:posOffset>
              </wp:positionV>
              <wp:extent cx="0" cy="290830"/>
              <wp:effectExtent l="0" t="0" r="19050" b="13970"/>
              <wp:wrapNone/>
              <wp:docPr id="3" name="Konektor Lurus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9083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a="http://schemas.openxmlformats.org/drawingml/2006/main">
          <w:pict>
            <v:line id="Konektor Lurus 3" style="position:absolute;z-index:25165926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spid="_x0000_s1026" strokecolor="window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" from="16.9pt,0" to="16.9pt,22.9pt" w14:anchorId="071551A7">
              <o:lock v:ext="edit" shapetype="f"/>
            </v:line>
          </w:pict>
        </mc:Fallback>
      </mc:AlternateContent>
    </w:r>
    <w:r w:rsidRPr="002B1A7D">
      <w:rPr>
        <w:rFonts w:ascii="Palatino Linotype" w:hAnsi="Palatino Linotype"/>
        <w:sz w:val="20"/>
      </w:rPr>
      <w:fldChar w:fldCharType="begin"/>
    </w:r>
    <w:r w:rsidRPr="002B1A7D">
      <w:rPr>
        <w:rFonts w:ascii="Palatino Linotype" w:hAnsi="Palatino Linotype"/>
        <w:sz w:val="20"/>
      </w:rPr>
      <w:instrText xml:space="preserve"> PAGE   \* MERGEFORMAT </w:instrText>
    </w:r>
    <w:r w:rsidRPr="002B1A7D">
      <w:rPr>
        <w:rFonts w:ascii="Palatino Linotype" w:hAnsi="Palatino Linotype"/>
        <w:sz w:val="20"/>
      </w:rPr>
      <w:fldChar w:fldCharType="separate"/>
    </w:r>
    <w:r w:rsidRPr="002B1A7D">
      <w:rPr>
        <w:rFonts w:ascii="Palatino Linotype" w:hAnsi="Palatino Linotype"/>
        <w:sz w:val="20"/>
      </w:rPr>
      <w:t>12</w:t>
    </w:r>
    <w:r w:rsidRPr="002B1A7D">
      <w:rPr>
        <w:rFonts w:ascii="Palatino Linotype" w:hAnsi="Palatino Linotype"/>
        <w:sz w:val="20"/>
      </w:rPr>
      <w:fldChar w:fldCharType="end"/>
    </w:r>
    <w:r w:rsidRPr="002B1A7D">
      <w:rPr>
        <w:rFonts w:ascii="Palatino Linotype" w:hAnsi="Palatino Linotype"/>
        <w:sz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4186B" w14:textId="541EFEE3" w:rsidR="005037E2" w:rsidRDefault="005037E2" w:rsidP="005037E2">
    <w:pPr>
      <w:pStyle w:val="Footer"/>
      <w:tabs>
        <w:tab w:val="clear" w:pos="4706"/>
        <w:tab w:val="clear" w:pos="9356"/>
        <w:tab w:val="clear" w:pos="10080"/>
        <w:tab w:val="right" w:pos="8505"/>
      </w:tabs>
      <w:spacing w:before="0" w:line="240" w:lineRule="auto"/>
      <w:rPr>
        <w:rFonts w:ascii="Book Antiqua" w:hAnsi="Book Antiqua"/>
        <w:i w:val="0"/>
        <w:iCs/>
        <w:sz w:val="20"/>
      </w:rPr>
    </w:pPr>
    <w:r>
      <mc:AlternateContent>
        <mc:Choice Requires="wps">
          <w:drawing>
            <wp:anchor distT="0" distB="0" distL="114297" distR="114297" simplePos="0" relativeHeight="251660288" behindDoc="0" locked="0" layoutInCell="1" allowOverlap="1" wp14:anchorId="5F9094F9" wp14:editId="48AFFA82">
              <wp:simplePos x="0" y="0"/>
              <wp:positionH relativeFrom="column">
                <wp:posOffset>5114924</wp:posOffset>
              </wp:positionH>
              <wp:positionV relativeFrom="paragraph">
                <wp:posOffset>-1905</wp:posOffset>
              </wp:positionV>
              <wp:extent cx="0" cy="290830"/>
              <wp:effectExtent l="0" t="0" r="19050" b="13970"/>
              <wp:wrapNone/>
              <wp:docPr id="2" name="Konektor Lurus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9083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a="http://schemas.openxmlformats.org/drawingml/2006/main">
          <w:pict>
            <v:line id="Konektor Lurus 2" style="position:absolute;z-index:25166028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spid="_x0000_s1026" strokecolor="window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" from="402.75pt,-.15pt" to="402.75pt,22.75pt" w14:anchorId="4CD0D89C">
              <o:lock v:ext="edit" shapetype="f"/>
            </v:line>
          </w:pict>
        </mc:Fallback>
      </mc:AlternateContent>
    </w:r>
    <w:r w:rsidRPr="00EA29FD">
      <w:rPr>
        <w:rFonts w:ascii="Garamond" w:hAnsi="Garamond"/>
        <w:iCs/>
        <w:sz w:val="16"/>
        <w:szCs w:val="16"/>
      </w:rPr>
      <w:t xml:space="preserve">    </w:t>
    </w:r>
    <w:r w:rsidRPr="00EA29FD">
      <w:rPr>
        <w:rFonts w:ascii="Garamond" w:hAnsi="Garamond"/>
        <w:iCs/>
        <w:sz w:val="16"/>
        <w:szCs w:val="16"/>
      </w:rPr>
      <w:tab/>
      <w:t xml:space="preserve">  </w:t>
    </w:r>
    <w:r w:rsidRPr="00DE3939">
      <w:rPr>
        <w:rFonts w:ascii="Book Antiqua" w:hAnsi="Book Antiqua"/>
        <w:i w:val="0"/>
        <w:iCs/>
        <w:sz w:val="20"/>
      </w:rPr>
      <w:fldChar w:fldCharType="begin"/>
    </w:r>
    <w:r w:rsidRPr="00DE3939">
      <w:rPr>
        <w:rFonts w:ascii="Book Antiqua" w:hAnsi="Book Antiqua"/>
        <w:i w:val="0"/>
        <w:iCs/>
        <w:sz w:val="20"/>
      </w:rPr>
      <w:instrText xml:space="preserve"> PAGE   \* MERGEFORMAT </w:instrText>
    </w:r>
    <w:r w:rsidRPr="00DE3939">
      <w:rPr>
        <w:rFonts w:ascii="Book Antiqua" w:hAnsi="Book Antiqua"/>
        <w:i w:val="0"/>
        <w:iCs/>
        <w:sz w:val="20"/>
      </w:rPr>
      <w:fldChar w:fldCharType="separate"/>
    </w:r>
    <w:r>
      <w:rPr>
        <w:rFonts w:ascii="Book Antiqua" w:hAnsi="Book Antiqua"/>
        <w:i w:val="0"/>
        <w:iCs/>
        <w:sz w:val="20"/>
      </w:rPr>
      <w:t>17</w:t>
    </w:r>
    <w:r w:rsidRPr="00DE3939">
      <w:rPr>
        <w:rFonts w:ascii="Book Antiqua" w:hAnsi="Book Antiqua"/>
        <w:i w:val="0"/>
        <w:iCs/>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A388A" w14:textId="4DBC420A" w:rsidR="002E7872" w:rsidRPr="005F40F2" w:rsidRDefault="0040021C" w:rsidP="002E7872">
    <w:pPr>
      <w:spacing w:line="240" w:lineRule="auto"/>
      <w:ind w:left="851" w:right="850"/>
      <w:jc w:val="center"/>
      <w:rPr>
        <w:rStyle w:val="tlid-translation"/>
        <w:rFonts w:ascii="Palatino Linotype" w:hAnsi="Palatino Linotype" w:cs="Arial"/>
        <w:sz w:val="20"/>
      </w:rPr>
    </w:pPr>
    <w:r>
      <w:rPr>
        <w:noProof/>
      </w:rPr>
      <mc:AlternateContent>
        <mc:Choice Requires="wps">
          <w:drawing>
            <wp:anchor distT="0" distB="0" distL="114300" distR="114300" simplePos="0" relativeHeight="251664384" behindDoc="0" locked="0" layoutInCell="1" allowOverlap="1" wp14:anchorId="65F744A2" wp14:editId="6B29245A">
              <wp:simplePos x="0" y="0"/>
              <wp:positionH relativeFrom="column">
                <wp:posOffset>499110</wp:posOffset>
              </wp:positionH>
              <wp:positionV relativeFrom="paragraph">
                <wp:posOffset>-41910</wp:posOffset>
              </wp:positionV>
              <wp:extent cx="5080000"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508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a="http://schemas.openxmlformats.org/drawingml/2006/main">
          <w:pict>
            <v:line id="Straight Connector 8"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00]" strokeweigh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" from="39.3pt,-3.3pt" to="439.3pt,-3.3pt" w14:anchorId="1E22C782">
              <v:stroke joinstyle="miter"/>
            </v:line>
          </w:pict>
        </mc:Fallback>
      </mc:AlternateContent>
    </w:r>
    <w:r w:rsidR="002E7872" w:rsidRPr="002E7872">
      <w:t xml:space="preserve"> </w:t>
    </w:r>
    <w:r w:rsidR="002E7872" w:rsidRPr="005F40F2">
      <w:rPr>
        <w:rStyle w:val="tlid-translation"/>
        <w:rFonts w:ascii="Palatino Linotype" w:hAnsi="Palatino Linotype" w:cs="Arial"/>
        <w:sz w:val="20"/>
      </w:rPr>
      <w:t xml:space="preserve">Published by </w:t>
    </w:r>
    <w:proofErr w:type="spellStart"/>
    <w:r w:rsidR="00CA5331" w:rsidRPr="005F40F2">
      <w:rPr>
        <w:rStyle w:val="tlid-translation"/>
        <w:rFonts w:ascii="Palatino Linotype" w:hAnsi="Palatino Linotype" w:cs="Arial"/>
        <w:sz w:val="20"/>
      </w:rPr>
      <w:t>Institut</w:t>
    </w:r>
    <w:proofErr w:type="spellEnd"/>
    <w:r w:rsidR="00CA5331" w:rsidRPr="005F40F2">
      <w:rPr>
        <w:rStyle w:val="tlid-translation"/>
        <w:rFonts w:ascii="Palatino Linotype" w:hAnsi="Palatino Linotype" w:cs="Arial"/>
        <w:sz w:val="20"/>
      </w:rPr>
      <w:t xml:space="preserve"> Agama Islam </w:t>
    </w:r>
    <w:proofErr w:type="spellStart"/>
    <w:r w:rsidR="00CA5331" w:rsidRPr="005F40F2">
      <w:rPr>
        <w:rStyle w:val="tlid-translation"/>
        <w:rFonts w:ascii="Palatino Linotype" w:hAnsi="Palatino Linotype" w:cs="Arial"/>
        <w:sz w:val="20"/>
      </w:rPr>
      <w:t>Sunan</w:t>
    </w:r>
    <w:proofErr w:type="spellEnd"/>
    <w:r w:rsidR="00CA5331" w:rsidRPr="005F40F2">
      <w:rPr>
        <w:rStyle w:val="tlid-translation"/>
        <w:rFonts w:ascii="Palatino Linotype" w:hAnsi="Palatino Linotype" w:cs="Arial"/>
        <w:sz w:val="20"/>
      </w:rPr>
      <w:t xml:space="preserve"> </w:t>
    </w:r>
    <w:proofErr w:type="spellStart"/>
    <w:r w:rsidR="00CA5331" w:rsidRPr="005F40F2">
      <w:rPr>
        <w:rStyle w:val="tlid-translation"/>
        <w:rFonts w:ascii="Palatino Linotype" w:hAnsi="Palatino Linotype" w:cs="Arial"/>
        <w:sz w:val="20"/>
      </w:rPr>
      <w:t>Giri</w:t>
    </w:r>
    <w:proofErr w:type="spellEnd"/>
    <w:r w:rsidR="00CA5331" w:rsidRPr="005F40F2">
      <w:rPr>
        <w:rStyle w:val="tlid-translation"/>
        <w:rFonts w:ascii="Palatino Linotype" w:hAnsi="Palatino Linotype" w:cs="Arial"/>
        <w:sz w:val="20"/>
      </w:rPr>
      <w:t xml:space="preserve"> </w:t>
    </w:r>
    <w:r w:rsidR="002E7872" w:rsidRPr="005F40F2">
      <w:rPr>
        <w:rStyle w:val="tlid-translation"/>
        <w:rFonts w:ascii="Palatino Linotype" w:hAnsi="Palatino Linotype" w:cs="Arial"/>
        <w:sz w:val="20"/>
      </w:rPr>
      <w:t xml:space="preserve">(INSURI) in </w:t>
    </w:r>
    <w:proofErr w:type="spellStart"/>
    <w:r w:rsidR="002E7872" w:rsidRPr="005F40F2">
      <w:rPr>
        <w:rStyle w:val="tlid-translation"/>
        <w:rFonts w:ascii="Palatino Linotype" w:hAnsi="Palatino Linotype" w:cs="Arial"/>
        <w:sz w:val="20"/>
      </w:rPr>
      <w:t>Ponorogo</w:t>
    </w:r>
    <w:proofErr w:type="spellEnd"/>
    <w:r w:rsidR="002E7872" w:rsidRPr="005F40F2">
      <w:rPr>
        <w:rStyle w:val="tlid-translation"/>
        <w:rFonts w:ascii="Palatino Linotype" w:hAnsi="Palatino Linotype" w:cs="Arial"/>
        <w:sz w:val="20"/>
      </w:rPr>
      <w:t>, Indonesia</w:t>
    </w:r>
  </w:p>
  <w:p w14:paraId="4721F550" w14:textId="74CE6598" w:rsidR="0040021C" w:rsidRPr="005F40F2" w:rsidRDefault="002E7872" w:rsidP="005F40F2">
    <w:pPr>
      <w:spacing w:line="240" w:lineRule="auto"/>
      <w:ind w:left="851" w:right="850"/>
      <w:jc w:val="center"/>
      <w:rPr>
        <w:rFonts w:ascii="Palatino Linotype" w:hAnsi="Palatino Linotype" w:cs="Arial"/>
        <w:sz w:val="20"/>
      </w:rPr>
    </w:pPr>
    <w:r w:rsidRPr="005F40F2">
      <w:rPr>
        <w:rStyle w:val="tlid-translation"/>
        <w:rFonts w:ascii="Palatino Linotype" w:hAnsi="Palatino Linotype" w:cs="Arial"/>
        <w:sz w:val="20"/>
      </w:rPr>
      <w:t>Accredited Sinta</w:t>
    </w:r>
    <w:r w:rsidR="00164550">
      <w:rPr>
        <w:rStyle w:val="tlid-translation"/>
        <w:rFonts w:ascii="Palatino Linotype" w:hAnsi="Palatino Linotype" w:cs="Arial"/>
        <w:sz w:val="20"/>
      </w:rPr>
      <w:t xml:space="preserve">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273A29" w14:textId="77777777" w:rsidR="00D71107" w:rsidRDefault="00D71107">
      <w:pPr>
        <w:spacing w:line="240" w:lineRule="auto"/>
      </w:pPr>
      <w:r>
        <w:separator/>
      </w:r>
    </w:p>
  </w:footnote>
  <w:footnote w:type="continuationSeparator" w:id="0">
    <w:p w14:paraId="12809313" w14:textId="77777777" w:rsidR="00D71107" w:rsidRDefault="00D7110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8657E" w14:textId="1B409B41" w:rsidR="006261EA" w:rsidRPr="00347812" w:rsidRDefault="005F40F2" w:rsidP="005F40F2">
    <w:pPr>
      <w:pStyle w:val="Header"/>
      <w:rPr>
        <w:rFonts w:ascii="Palatino Linotype" w:hAnsi="Palatino Linotype"/>
        <w:i/>
        <w:iCs/>
        <w:sz w:val="20"/>
      </w:rPr>
    </w:pPr>
    <w:r w:rsidRPr="00347812">
      <w:rPr>
        <w:rFonts w:ascii="Palatino Linotype" w:hAnsi="Palatino Linotype"/>
        <w:i/>
        <w:iCs/>
        <w:sz w:val="20"/>
      </w:rPr>
      <mc:AlternateContent>
        <mc:Choice Requires="wps">
          <w:drawing>
            <wp:anchor distT="0" distB="0" distL="114300" distR="114300" simplePos="0" relativeHeight="251668480" behindDoc="0" locked="0" layoutInCell="1" allowOverlap="1" wp14:anchorId="6B720DBF" wp14:editId="65FC1547">
              <wp:simplePos x="0" y="0"/>
              <wp:positionH relativeFrom="column">
                <wp:posOffset>-2540</wp:posOffset>
              </wp:positionH>
              <wp:positionV relativeFrom="paragraph">
                <wp:posOffset>211455</wp:posOffset>
              </wp:positionV>
              <wp:extent cx="6127750" cy="0"/>
              <wp:effectExtent l="0" t="0" r="0" b="0"/>
              <wp:wrapNone/>
              <wp:docPr id="16" name="Straight Connector 16"/>
              <wp:cNvGraphicFramePr/>
              <a:graphic xmlns:a="http://schemas.openxmlformats.org/drawingml/2006/main">
                <a:graphicData uri="http://schemas.microsoft.com/office/word/2010/wordprocessingShape">
                  <wps:wsp>
                    <wps:cNvCnPr/>
                    <wps:spPr>
                      <a:xfrm>
                        <a:off x="0" y="0"/>
                        <a:ext cx="6127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a="http://schemas.openxmlformats.org/drawingml/2006/main">
          <w:pict>
            <v:line id="Straight Connector 1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" from="-.2pt,16.65pt" to="482.3pt,16.65pt" w14:anchorId="182FB1CD">
              <v:stroke joinstyle="miter"/>
            </v:line>
          </w:pict>
        </mc:Fallback>
      </mc:AlternateContent>
    </w:r>
    <w:r w:rsidRPr="00347812">
      <w:rPr>
        <w:rFonts w:ascii="Palatino Linotype" w:hAnsi="Palatino Linotype"/>
        <w:i/>
        <w:iCs/>
        <w:sz w:val="20"/>
      </w:rPr>
      <w:t xml:space="preserve">Scaffolding: </w:t>
    </w:r>
    <w:r w:rsidR="00CA5331" w:rsidRPr="00347812">
      <w:rPr>
        <w:rFonts w:ascii="Palatino Linotype" w:hAnsi="Palatino Linotype"/>
        <w:i/>
        <w:iCs/>
        <w:sz w:val="20"/>
      </w:rPr>
      <w:t>Jurnal Pendidikan Islam dan Multikulturalisme</w:t>
    </w:r>
  </w:p>
  <w:p w14:paraId="7E7EB88E" w14:textId="77777777" w:rsidR="006261EA" w:rsidRDefault="006261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5E30A" w14:textId="7F2F6BB9" w:rsidR="004D4595" w:rsidRPr="00D100D8" w:rsidRDefault="006261EA" w:rsidP="004D4595">
    <w:pPr>
      <w:pStyle w:val="Header"/>
      <w:jc w:val="right"/>
      <w:rPr>
        <w:rFonts w:ascii="Palatino Linotype" w:hAnsi="Palatino Linotype"/>
        <w:sz w:val="20"/>
      </w:rPr>
    </w:pPr>
    <w:r w:rsidRPr="00D100D8">
      <w:rPr>
        <w:rFonts w:ascii="Palatino Linotype" w:hAnsi="Palatino Linotype"/>
        <w:sz w:val="20"/>
      </w:rPr>
      <mc:AlternateContent>
        <mc:Choice Requires="wps">
          <w:drawing>
            <wp:anchor distT="0" distB="0" distL="114300" distR="114300" simplePos="0" relativeHeight="251661312" behindDoc="0" locked="0" layoutInCell="1" allowOverlap="1" wp14:anchorId="786F4D7E" wp14:editId="4218A13A">
              <wp:simplePos x="0" y="0"/>
              <wp:positionH relativeFrom="column">
                <wp:posOffset>-8890</wp:posOffset>
              </wp:positionH>
              <wp:positionV relativeFrom="paragraph">
                <wp:posOffset>198755</wp:posOffset>
              </wp:positionV>
              <wp:extent cx="612140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6121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http://schemas.openxmlformats.org/drawingml/2006/main">
          <w:pict>
            <v:line id="Straight Connector 4"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" from="-.7pt,15.65pt" to="481.3pt,15.65pt" w14:anchorId="62464436">
              <v:stroke joinstyle="miter"/>
            </v:line>
          </w:pict>
        </mc:Fallback>
      </mc:AlternateContent>
    </w:r>
    <w:r w:rsidR="00110D8D" w:rsidRPr="00110D8D">
      <w:rPr>
        <w:rFonts w:ascii="Palatino Linotype" w:hAnsi="Palatino Linotype"/>
        <w:sz w:val="20"/>
      </w:rPr>
      <w:t xml:space="preserve"> </w:t>
    </w:r>
    <w:r w:rsidR="008D07DE" w:rsidRPr="008D07DE">
      <w:rPr>
        <w:rFonts w:ascii="Palatino Linotype" w:hAnsi="Palatino Linotype"/>
        <w:sz w:val="20"/>
      </w:rPr>
      <w:t>The Use of Student Worksheets to Foster Independent Learning Among Students</w:t>
    </w:r>
    <w:r w:rsidR="008D07DE">
      <w:rPr>
        <w:rFonts w:ascii="Palatino Linotype" w:hAnsi="Palatino Linotype"/>
        <w:sz w:val="20"/>
      </w:rPr>
      <w:t>…</w:t>
    </w:r>
    <w:r w:rsidR="0040021C" w:rsidRPr="00D100D8">
      <w:rPr>
        <w:rFonts w:ascii="Palatino Linotype" w:hAnsi="Palatino Linotype"/>
        <w:sz w:val="20"/>
      </w:rPr>
      <w:t>(</w:t>
    </w:r>
    <w:r w:rsidR="008C1CF1">
      <w:rPr>
        <w:rFonts w:ascii="Palatino Linotype" w:hAnsi="Palatino Linotype"/>
        <w:sz w:val="20"/>
      </w:rPr>
      <w:t>Hkmah, Yahuda</w:t>
    </w:r>
    <w:r w:rsidR="0040021C" w:rsidRPr="00D100D8">
      <w:rPr>
        <w:rFonts w:ascii="Palatino Linotype" w:hAnsi="Palatino Linotype"/>
        <w:sz w:val="20"/>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3118"/>
    </w:tblGrid>
    <w:tr w:rsidR="00A27839" w:rsidRPr="00A27839" w14:paraId="17BB3701" w14:textId="77777777" w:rsidTr="00F600DB">
      <w:tc>
        <w:tcPr>
          <w:tcW w:w="3119" w:type="dxa"/>
        </w:tcPr>
        <w:p w14:paraId="74D11C49" w14:textId="26545F0C" w:rsidR="00A27839" w:rsidRPr="00A27839" w:rsidRDefault="00A27839" w:rsidP="00A27839">
          <w:pPr>
            <w:pStyle w:val="Header"/>
            <w:spacing w:after="0" w:line="240" w:lineRule="auto"/>
            <w:contextualSpacing/>
            <w:rPr>
              <w:rFonts w:ascii="Palatino Linotype" w:hAnsi="Palatino Linotype"/>
              <w:sz w:val="18"/>
              <w:szCs w:val="18"/>
            </w:rPr>
          </w:pPr>
          <w:r w:rsidRPr="00A27839">
            <w:rPr>
              <w:rFonts w:ascii="Palatino Linotype" w:hAnsi="Palatino Linotype"/>
              <w:sz w:val="18"/>
              <w:szCs w:val="18"/>
            </w:rPr>
            <w:t>Volume</w:t>
          </w:r>
          <w:r w:rsidR="00F8369B">
            <w:rPr>
              <w:rFonts w:ascii="Palatino Linotype" w:hAnsi="Palatino Linotype"/>
              <w:sz w:val="18"/>
              <w:szCs w:val="18"/>
            </w:rPr>
            <w:t xml:space="preserve"> 7, </w:t>
          </w:r>
          <w:r w:rsidR="00EF56CC">
            <w:rPr>
              <w:rFonts w:ascii="Palatino Linotype" w:hAnsi="Palatino Linotype"/>
              <w:sz w:val="18"/>
              <w:szCs w:val="18"/>
            </w:rPr>
            <w:t>No.</w:t>
          </w:r>
          <w:r w:rsidRPr="00A27839">
            <w:rPr>
              <w:rFonts w:ascii="Palatino Linotype" w:hAnsi="Palatino Linotype"/>
              <w:sz w:val="18"/>
              <w:szCs w:val="18"/>
            </w:rPr>
            <w:t xml:space="preserve"> </w:t>
          </w:r>
          <w:r w:rsidR="00EF56CC">
            <w:rPr>
              <w:rFonts w:ascii="Palatino Linotype" w:hAnsi="Palatino Linotype"/>
              <w:sz w:val="18"/>
              <w:szCs w:val="18"/>
            </w:rPr>
            <w:t>2</w:t>
          </w:r>
          <w:r w:rsidRPr="00A27839">
            <w:rPr>
              <w:rFonts w:ascii="Palatino Linotype" w:hAnsi="Palatino Linotype"/>
              <w:sz w:val="18"/>
              <w:szCs w:val="18"/>
            </w:rPr>
            <w:t xml:space="preserve"> (</w:t>
          </w:r>
          <w:r w:rsidR="00F8369B">
            <w:rPr>
              <w:rFonts w:ascii="Palatino Linotype" w:hAnsi="Palatino Linotype"/>
              <w:sz w:val="18"/>
              <w:szCs w:val="18"/>
            </w:rPr>
            <w:t>2025</w:t>
          </w:r>
          <w:r w:rsidRPr="00A27839">
            <w:rPr>
              <w:rFonts w:ascii="Palatino Linotype" w:hAnsi="Palatino Linotype"/>
              <w:sz w:val="18"/>
              <w:szCs w:val="18"/>
            </w:rPr>
            <w:t>)</w:t>
          </w:r>
        </w:p>
        <w:p w14:paraId="153709D8" w14:textId="36D91844" w:rsidR="00A27839" w:rsidRPr="00A27839" w:rsidRDefault="00EF56CC" w:rsidP="00A27839">
          <w:pPr>
            <w:pStyle w:val="Header"/>
            <w:spacing w:after="0" w:line="240" w:lineRule="auto"/>
            <w:contextualSpacing/>
            <w:rPr>
              <w:rFonts w:ascii="Palatino Linotype" w:hAnsi="Palatino Linotype"/>
              <w:sz w:val="18"/>
              <w:szCs w:val="18"/>
            </w:rPr>
          </w:pPr>
          <w:r>
            <w:rPr>
              <w:rFonts w:ascii="Palatino Linotype" w:hAnsi="Palatino Linotype"/>
              <w:sz w:val="18"/>
              <w:szCs w:val="18"/>
            </w:rPr>
            <w:t>May</w:t>
          </w:r>
          <w:r w:rsidR="00A27839" w:rsidRPr="00A27839">
            <w:rPr>
              <w:rFonts w:ascii="Palatino Linotype" w:hAnsi="Palatino Linotype"/>
              <w:sz w:val="18"/>
              <w:szCs w:val="18"/>
            </w:rPr>
            <w:t>–</w:t>
          </w:r>
          <w:r>
            <w:rPr>
              <w:rFonts w:ascii="Palatino Linotype" w:hAnsi="Palatino Linotype"/>
              <w:sz w:val="18"/>
              <w:szCs w:val="18"/>
            </w:rPr>
            <w:t>August</w:t>
          </w:r>
          <w:r w:rsidR="00F8369B">
            <w:rPr>
              <w:rFonts w:ascii="Palatino Linotype" w:hAnsi="Palatino Linotype"/>
              <w:sz w:val="18"/>
              <w:szCs w:val="18"/>
            </w:rPr>
            <w:t xml:space="preserve"> 2025</w:t>
          </w:r>
        </w:p>
        <w:p w14:paraId="7B81578A" w14:textId="6E897AD9" w:rsidR="00A27839" w:rsidRPr="00A27839" w:rsidRDefault="00A27839" w:rsidP="00A27839">
          <w:pPr>
            <w:pStyle w:val="Header"/>
            <w:spacing w:after="0" w:line="240" w:lineRule="auto"/>
            <w:contextualSpacing/>
            <w:rPr>
              <w:rFonts w:ascii="Palatino Linotype" w:hAnsi="Palatino Linotype"/>
              <w:sz w:val="18"/>
              <w:szCs w:val="18"/>
            </w:rPr>
          </w:pPr>
          <w:r w:rsidRPr="00A27839">
            <w:rPr>
              <w:rFonts w:ascii="Palatino Linotype" w:hAnsi="Palatino Linotype"/>
              <w:sz w:val="18"/>
              <w:szCs w:val="18"/>
            </w:rPr>
            <w:t xml:space="preserve">Pages: </w:t>
          </w:r>
          <w:r w:rsidR="00EF56CC">
            <w:rPr>
              <w:rFonts w:ascii="Palatino Linotype" w:hAnsi="Palatino Linotype"/>
              <w:sz w:val="18"/>
              <w:szCs w:val="18"/>
            </w:rPr>
            <w:t>1289-1302</w:t>
          </w:r>
        </w:p>
      </w:tc>
      <w:tc>
        <w:tcPr>
          <w:tcW w:w="3118" w:type="dxa"/>
        </w:tcPr>
        <w:p w14:paraId="2C08528E" w14:textId="77777777" w:rsidR="00A27839" w:rsidRPr="00A27839" w:rsidRDefault="00A27839" w:rsidP="00A27839">
          <w:pPr>
            <w:pStyle w:val="Header"/>
            <w:spacing w:after="0" w:line="240" w:lineRule="auto"/>
            <w:contextualSpacing/>
            <w:rPr>
              <w:rFonts w:ascii="Palatino Linotype" w:hAnsi="Palatino Linotype"/>
              <w:sz w:val="18"/>
              <w:szCs w:val="18"/>
            </w:rPr>
          </w:pPr>
          <w:r w:rsidRPr="00A27839">
            <w:rPr>
              <w:rFonts w:ascii="Palatino Linotype" w:hAnsi="Palatino Linotype"/>
              <w:sz w:val="18"/>
              <w:szCs w:val="18"/>
            </w:rPr>
            <w:t>E-ISSN: 2656-4491</w:t>
          </w:r>
        </w:p>
        <w:p w14:paraId="5653CA28" w14:textId="77777777" w:rsidR="00A27839" w:rsidRPr="00A27839" w:rsidRDefault="00A27839" w:rsidP="00A27839">
          <w:pPr>
            <w:pStyle w:val="Header"/>
            <w:spacing w:after="0" w:line="240" w:lineRule="auto"/>
            <w:contextualSpacing/>
            <w:rPr>
              <w:rFonts w:ascii="Palatino Linotype" w:hAnsi="Palatino Linotype"/>
              <w:sz w:val="18"/>
              <w:szCs w:val="18"/>
            </w:rPr>
          </w:pPr>
          <w:r w:rsidRPr="00A27839">
            <w:rPr>
              <w:rFonts w:ascii="Palatino Linotype" w:hAnsi="Palatino Linotype"/>
              <w:sz w:val="18"/>
              <w:szCs w:val="18"/>
            </w:rPr>
            <w:t>P-ISSN: 2656-4548</w:t>
          </w:r>
        </w:p>
        <w:p w14:paraId="677F3FB0" w14:textId="399B17BF" w:rsidR="00A27839" w:rsidRPr="00A27839" w:rsidRDefault="00A27839" w:rsidP="00A27839">
          <w:pPr>
            <w:pStyle w:val="Header"/>
            <w:spacing w:after="0" w:line="240" w:lineRule="auto"/>
            <w:contextualSpacing/>
            <w:rPr>
              <w:rFonts w:ascii="Palatino Linotype" w:hAnsi="Palatino Linotype"/>
              <w:sz w:val="18"/>
              <w:szCs w:val="18"/>
            </w:rPr>
          </w:pPr>
          <w:r w:rsidRPr="00A27839">
            <w:rPr>
              <w:rFonts w:ascii="Palatino Linotype" w:hAnsi="Palatino Linotype"/>
              <w:sz w:val="18"/>
              <w:szCs w:val="18"/>
            </w:rPr>
            <w:t>DOI</w:t>
          </w:r>
          <w:r w:rsidR="005F72E5">
            <w:rPr>
              <w:rFonts w:ascii="Palatino Linotype" w:hAnsi="Palatino Linotype"/>
              <w:sz w:val="18"/>
              <w:szCs w:val="18"/>
            </w:rPr>
            <w:t>:</w:t>
          </w:r>
          <w:r w:rsidR="00EF56CC">
            <w:rPr>
              <w:rFonts w:ascii="Palatino Linotype" w:hAnsi="Palatino Linotype"/>
              <w:sz w:val="18"/>
              <w:szCs w:val="18"/>
            </w:rPr>
            <w:t>1</w:t>
          </w:r>
          <w:r w:rsidR="00EF56CC" w:rsidRPr="00EF56CC">
            <w:rPr>
              <w:rFonts w:ascii="Palatino Linotype" w:hAnsi="Palatino Linotype"/>
              <w:sz w:val="18"/>
              <w:szCs w:val="18"/>
            </w:rPr>
            <w:t>0.37680/scaffolding.v7i2.</w:t>
          </w:r>
          <w:r w:rsidR="00EF56CC">
            <w:rPr>
              <w:rFonts w:ascii="Palatino Linotype" w:hAnsi="Palatino Linotype"/>
              <w:sz w:val="18"/>
              <w:szCs w:val="18"/>
            </w:rPr>
            <w:t>10904</w:t>
          </w:r>
        </w:p>
      </w:tc>
    </w:tr>
  </w:tbl>
  <w:p w14:paraId="0439E2B4" w14:textId="77777777" w:rsidR="00A27839" w:rsidRDefault="00A27839" w:rsidP="00A27839">
    <w:pPr>
      <w:pStyle w:val="Header"/>
    </w:pPr>
    <w:r>
      <w:rPr>
        <w:rFonts w:ascii="Palatino Linotype" w:hAnsi="Palatino Linotype"/>
        <w:b/>
        <w:bCs/>
        <w:sz w:val="24"/>
        <w:szCs w:val="24"/>
      </w:rPr>
      <w:drawing>
        <wp:anchor distT="0" distB="0" distL="114300" distR="114300" simplePos="0" relativeHeight="251667456" behindDoc="1" locked="0" layoutInCell="1" allowOverlap="1" wp14:anchorId="3BBAD5DA" wp14:editId="09AAEA75">
          <wp:simplePos x="0" y="0"/>
          <wp:positionH relativeFrom="column">
            <wp:posOffset>4010660</wp:posOffset>
          </wp:positionH>
          <wp:positionV relativeFrom="paragraph">
            <wp:posOffset>-462280</wp:posOffset>
          </wp:positionV>
          <wp:extent cx="2089247" cy="419100"/>
          <wp:effectExtent l="0" t="0" r="635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089247" cy="419100"/>
                  </a:xfrm>
                  <a:prstGeom prst="rect">
                    <a:avLst/>
                  </a:prstGeom>
                </pic:spPr>
              </pic:pic>
            </a:graphicData>
          </a:graphic>
          <wp14:sizeRelH relativeFrom="page">
            <wp14:pctWidth>0</wp14:pctWidth>
          </wp14:sizeRelH>
          <wp14:sizeRelV relativeFrom="page">
            <wp14:pctHeight>0</wp14:pctHeight>
          </wp14:sizeRelV>
        </wp:anchor>
      </w:drawing>
    </w:r>
    <w:r>
      <w:rPr>
        <w:rFonts w:ascii="Tempus Sans ITC" w:hAnsi="Tempus Sans ITC"/>
        <w:sz w:val="24"/>
        <w:szCs w:val="24"/>
      </w:rPr>
      <mc:AlternateContent>
        <mc:Choice Requires="wps">
          <w:drawing>
            <wp:anchor distT="0" distB="0" distL="114300" distR="114300" simplePos="0" relativeHeight="251666432" behindDoc="0" locked="0" layoutInCell="1" allowOverlap="1" wp14:anchorId="7CF1514F" wp14:editId="50C9367D">
              <wp:simplePos x="0" y="0"/>
              <wp:positionH relativeFrom="column">
                <wp:posOffset>-26670</wp:posOffset>
              </wp:positionH>
              <wp:positionV relativeFrom="paragraph">
                <wp:posOffset>123825</wp:posOffset>
              </wp:positionV>
              <wp:extent cx="6134100" cy="0"/>
              <wp:effectExtent l="19050" t="19050" r="38100" b="38100"/>
              <wp:wrapNone/>
              <wp:docPr id="1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4100" cy="0"/>
                      </a:xfrm>
                      <a:prstGeom prst="straightConnector1">
                        <a:avLst/>
                      </a:prstGeom>
                      <a:noFill/>
                      <a:ln w="9525">
                        <a:solidFill>
                          <a:srgbClr val="000000"/>
                        </a:solidFill>
                        <a:round/>
                        <a:headEnd/>
                        <a:tailEnd/>
                      </a:ln>
                      <a:effectLst>
                        <a:prstShdw prst="shdw17" dist="17961" dir="2700000">
                          <a:srgbClr val="000000">
                            <a:gamma/>
                            <a:shade val="60000"/>
                            <a:invGamma/>
                          </a:srgbClr>
                        </a:prst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type id="_x0000_t32" coordsize="21600,21600" o:oned="t" filled="f" o:spt="32" path="m,l21600,21600e" w14:anchorId="22E89DA1">
              <v:path fillok="f" arrowok="t" o:connecttype="none"/>
              <o:lock v:ext="edit" shapetype="t"/>
            </v:shapetype>
            <v:shape id="AutoShape 5" style="position:absolute;margin-left:-2.1pt;margin-top:9.75pt;width:483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">
              <v:imagedata embosscolor="shadow add(51)"/>
              <v:shadow on="t" type="emboss" color="black" offset="1pt,1pt" color2="shadow add(102)" offset2="-1pt,-1p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E1248D"/>
    <w:multiLevelType w:val="hybridMultilevel"/>
    <w:tmpl w:val="F1BA149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286D05B8"/>
    <w:multiLevelType w:val="hybridMultilevel"/>
    <w:tmpl w:val="6E1A64AA"/>
    <w:lvl w:ilvl="0" w:tplc="271A7FC6">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 w15:restartNumberingAfterBreak="0">
    <w:nsid w:val="29251E8D"/>
    <w:multiLevelType w:val="multilevel"/>
    <w:tmpl w:val="7EFC0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8781ED2"/>
    <w:multiLevelType w:val="hybridMultilevel"/>
    <w:tmpl w:val="CFBE42B0"/>
    <w:lvl w:ilvl="0" w:tplc="9CDE6EAA">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91F7AEE"/>
    <w:multiLevelType w:val="hybridMultilevel"/>
    <w:tmpl w:val="B804E9D4"/>
    <w:lvl w:ilvl="0" w:tplc="68781EE0">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2035694287">
    <w:abstractNumId w:val="0"/>
  </w:num>
  <w:num w:numId="2" w16cid:durableId="1659992657">
    <w:abstractNumId w:val="4"/>
  </w:num>
  <w:num w:numId="3" w16cid:durableId="338197778">
    <w:abstractNumId w:val="1"/>
  </w:num>
  <w:num w:numId="4" w16cid:durableId="796266872">
    <w:abstractNumId w:val="3"/>
  </w:num>
  <w:num w:numId="5" w16cid:durableId="11799328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GzMLE0NDO1NDa3MDBQ0lEKTi0uzszPAykwqgUA1SFiEiwAAAA="/>
  </w:docVars>
  <w:rsids>
    <w:rsidRoot w:val="00302E97"/>
    <w:rsid w:val="00005F9E"/>
    <w:rsid w:val="000152E7"/>
    <w:rsid w:val="0002073E"/>
    <w:rsid w:val="00027BF8"/>
    <w:rsid w:val="00033D11"/>
    <w:rsid w:val="00057DDF"/>
    <w:rsid w:val="00071750"/>
    <w:rsid w:val="00086FF6"/>
    <w:rsid w:val="00087F22"/>
    <w:rsid w:val="000949A6"/>
    <w:rsid w:val="000B638B"/>
    <w:rsid w:val="000C63BD"/>
    <w:rsid w:val="000E1497"/>
    <w:rsid w:val="000E48BB"/>
    <w:rsid w:val="000F6351"/>
    <w:rsid w:val="00110D8D"/>
    <w:rsid w:val="00140449"/>
    <w:rsid w:val="00164550"/>
    <w:rsid w:val="00175F4E"/>
    <w:rsid w:val="00182F97"/>
    <w:rsid w:val="00187B6B"/>
    <w:rsid w:val="001C3962"/>
    <w:rsid w:val="001C7217"/>
    <w:rsid w:val="00200763"/>
    <w:rsid w:val="00210FF5"/>
    <w:rsid w:val="00232843"/>
    <w:rsid w:val="002413B9"/>
    <w:rsid w:val="00262BE2"/>
    <w:rsid w:val="00270742"/>
    <w:rsid w:val="0027717B"/>
    <w:rsid w:val="00280888"/>
    <w:rsid w:val="00283A5F"/>
    <w:rsid w:val="00294760"/>
    <w:rsid w:val="00296D7F"/>
    <w:rsid w:val="002A0398"/>
    <w:rsid w:val="002B1A7D"/>
    <w:rsid w:val="002B7ED3"/>
    <w:rsid w:val="002E2796"/>
    <w:rsid w:val="002E7872"/>
    <w:rsid w:val="002F3EB7"/>
    <w:rsid w:val="00302E97"/>
    <w:rsid w:val="003106D7"/>
    <w:rsid w:val="00313455"/>
    <w:rsid w:val="00321E1B"/>
    <w:rsid w:val="003355E7"/>
    <w:rsid w:val="00347812"/>
    <w:rsid w:val="00354C3A"/>
    <w:rsid w:val="003734DF"/>
    <w:rsid w:val="00391A91"/>
    <w:rsid w:val="00395876"/>
    <w:rsid w:val="00396903"/>
    <w:rsid w:val="003B14C3"/>
    <w:rsid w:val="003B4804"/>
    <w:rsid w:val="003C277B"/>
    <w:rsid w:val="003C7727"/>
    <w:rsid w:val="003D084F"/>
    <w:rsid w:val="003F4168"/>
    <w:rsid w:val="0040021C"/>
    <w:rsid w:val="00434E1A"/>
    <w:rsid w:val="00487EA7"/>
    <w:rsid w:val="004A50B3"/>
    <w:rsid w:val="004C6ECF"/>
    <w:rsid w:val="004D4595"/>
    <w:rsid w:val="005037E2"/>
    <w:rsid w:val="00522444"/>
    <w:rsid w:val="00526DC9"/>
    <w:rsid w:val="0053004A"/>
    <w:rsid w:val="0053019A"/>
    <w:rsid w:val="00533F0D"/>
    <w:rsid w:val="005522A6"/>
    <w:rsid w:val="005672E4"/>
    <w:rsid w:val="0057740B"/>
    <w:rsid w:val="00581566"/>
    <w:rsid w:val="005864A1"/>
    <w:rsid w:val="00590C64"/>
    <w:rsid w:val="00594896"/>
    <w:rsid w:val="005A6CF3"/>
    <w:rsid w:val="005B09B0"/>
    <w:rsid w:val="005B231A"/>
    <w:rsid w:val="005D6CA6"/>
    <w:rsid w:val="005F40F2"/>
    <w:rsid w:val="005F72E5"/>
    <w:rsid w:val="00605F58"/>
    <w:rsid w:val="00611842"/>
    <w:rsid w:val="00613DB6"/>
    <w:rsid w:val="006261EA"/>
    <w:rsid w:val="00634BCF"/>
    <w:rsid w:val="00642F36"/>
    <w:rsid w:val="00643683"/>
    <w:rsid w:val="00650B5D"/>
    <w:rsid w:val="00662FBA"/>
    <w:rsid w:val="00666210"/>
    <w:rsid w:val="00680118"/>
    <w:rsid w:val="006864DA"/>
    <w:rsid w:val="006A28BE"/>
    <w:rsid w:val="006B2E4B"/>
    <w:rsid w:val="006C56C5"/>
    <w:rsid w:val="006C66D8"/>
    <w:rsid w:val="006C74B1"/>
    <w:rsid w:val="006C7CA1"/>
    <w:rsid w:val="006E7464"/>
    <w:rsid w:val="0070066B"/>
    <w:rsid w:val="00734255"/>
    <w:rsid w:val="00750A1C"/>
    <w:rsid w:val="00752288"/>
    <w:rsid w:val="00767566"/>
    <w:rsid w:val="007A1AE7"/>
    <w:rsid w:val="007A283F"/>
    <w:rsid w:val="007B336A"/>
    <w:rsid w:val="007D57B4"/>
    <w:rsid w:val="007E6BE5"/>
    <w:rsid w:val="00800EA3"/>
    <w:rsid w:val="00850CDB"/>
    <w:rsid w:val="008525DB"/>
    <w:rsid w:val="00856C0A"/>
    <w:rsid w:val="00872799"/>
    <w:rsid w:val="0087610A"/>
    <w:rsid w:val="00880BA2"/>
    <w:rsid w:val="00894F24"/>
    <w:rsid w:val="00895936"/>
    <w:rsid w:val="008C1CF1"/>
    <w:rsid w:val="008C5D56"/>
    <w:rsid w:val="008D07DE"/>
    <w:rsid w:val="00901AED"/>
    <w:rsid w:val="00917A5A"/>
    <w:rsid w:val="00953FC5"/>
    <w:rsid w:val="00963984"/>
    <w:rsid w:val="00981F08"/>
    <w:rsid w:val="00985830"/>
    <w:rsid w:val="009D0942"/>
    <w:rsid w:val="009D6DF7"/>
    <w:rsid w:val="009E2B14"/>
    <w:rsid w:val="009E3D14"/>
    <w:rsid w:val="00A01F3C"/>
    <w:rsid w:val="00A04E41"/>
    <w:rsid w:val="00A05119"/>
    <w:rsid w:val="00A101F9"/>
    <w:rsid w:val="00A27839"/>
    <w:rsid w:val="00A31EDA"/>
    <w:rsid w:val="00A43901"/>
    <w:rsid w:val="00A45B3B"/>
    <w:rsid w:val="00A54521"/>
    <w:rsid w:val="00A81BF6"/>
    <w:rsid w:val="00AA2CD7"/>
    <w:rsid w:val="00AB68FE"/>
    <w:rsid w:val="00AB6CB0"/>
    <w:rsid w:val="00AC7DD5"/>
    <w:rsid w:val="00AD0A28"/>
    <w:rsid w:val="00AD0B9B"/>
    <w:rsid w:val="00AD142C"/>
    <w:rsid w:val="00AE0EA6"/>
    <w:rsid w:val="00AE6EED"/>
    <w:rsid w:val="00AF1F5F"/>
    <w:rsid w:val="00B2078A"/>
    <w:rsid w:val="00B32057"/>
    <w:rsid w:val="00B425DE"/>
    <w:rsid w:val="00B535AB"/>
    <w:rsid w:val="00B53B69"/>
    <w:rsid w:val="00B6473C"/>
    <w:rsid w:val="00B6477D"/>
    <w:rsid w:val="00B721C5"/>
    <w:rsid w:val="00B734E2"/>
    <w:rsid w:val="00B81925"/>
    <w:rsid w:val="00B81F08"/>
    <w:rsid w:val="00B85BDC"/>
    <w:rsid w:val="00B93A62"/>
    <w:rsid w:val="00BB625C"/>
    <w:rsid w:val="00BB79BF"/>
    <w:rsid w:val="00BD06F1"/>
    <w:rsid w:val="00BD404C"/>
    <w:rsid w:val="00BD6380"/>
    <w:rsid w:val="00BE244F"/>
    <w:rsid w:val="00C03885"/>
    <w:rsid w:val="00C047D2"/>
    <w:rsid w:val="00C20B16"/>
    <w:rsid w:val="00C21113"/>
    <w:rsid w:val="00C21FB7"/>
    <w:rsid w:val="00C26DEA"/>
    <w:rsid w:val="00C4240F"/>
    <w:rsid w:val="00C761B1"/>
    <w:rsid w:val="00C77364"/>
    <w:rsid w:val="00CA0A14"/>
    <w:rsid w:val="00CA5331"/>
    <w:rsid w:val="00CB37F4"/>
    <w:rsid w:val="00CE0DC4"/>
    <w:rsid w:val="00CF67EB"/>
    <w:rsid w:val="00D06F64"/>
    <w:rsid w:val="00D100D8"/>
    <w:rsid w:val="00D1060F"/>
    <w:rsid w:val="00D1288C"/>
    <w:rsid w:val="00D46193"/>
    <w:rsid w:val="00D50DD8"/>
    <w:rsid w:val="00D71107"/>
    <w:rsid w:val="00DC104C"/>
    <w:rsid w:val="00DC3585"/>
    <w:rsid w:val="00DD5C39"/>
    <w:rsid w:val="00DF508B"/>
    <w:rsid w:val="00E05545"/>
    <w:rsid w:val="00E12864"/>
    <w:rsid w:val="00E3189A"/>
    <w:rsid w:val="00E65C25"/>
    <w:rsid w:val="00E75F0C"/>
    <w:rsid w:val="00EB021C"/>
    <w:rsid w:val="00EC06C8"/>
    <w:rsid w:val="00EF1E91"/>
    <w:rsid w:val="00EF56CC"/>
    <w:rsid w:val="00F01515"/>
    <w:rsid w:val="00F017E2"/>
    <w:rsid w:val="00F12319"/>
    <w:rsid w:val="00F20EE8"/>
    <w:rsid w:val="00F35B50"/>
    <w:rsid w:val="00F43849"/>
    <w:rsid w:val="00F45989"/>
    <w:rsid w:val="00F600DB"/>
    <w:rsid w:val="00F8369B"/>
    <w:rsid w:val="00F9154E"/>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65FC55"/>
  <w15:chartTrackingRefBased/>
  <w15:docId w15:val="{4568F368-D7DB-4A16-8037-51739537B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231A"/>
    <w:pPr>
      <w:widowControl w:val="0"/>
      <w:spacing w:after="0" w:line="230" w:lineRule="exact"/>
    </w:pPr>
    <w:rPr>
      <w:rFonts w:ascii="Times New Roman" w:eastAsia="SimSun" w:hAnsi="Times New Roman" w:cs="Times New Roman"/>
      <w:sz w:val="16"/>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ls-Title">
    <w:name w:val="Els-Title"/>
    <w:next w:val="Normal"/>
    <w:autoRedefine/>
    <w:rsid w:val="00302E97"/>
    <w:pPr>
      <w:suppressAutoHyphens/>
      <w:spacing w:after="0" w:line="240" w:lineRule="auto"/>
      <w:jc w:val="center"/>
    </w:pPr>
    <w:rPr>
      <w:rFonts w:ascii="Book Antiqua" w:eastAsia="SimSun" w:hAnsi="Book Antiqua" w:cs="Times New Roman"/>
      <w:b/>
      <w:sz w:val="30"/>
      <w:szCs w:val="18"/>
      <w:lang w:val="en-US"/>
    </w:rPr>
  </w:style>
  <w:style w:type="paragraph" w:styleId="Header">
    <w:name w:val="header"/>
    <w:aliases w:val="page-number"/>
    <w:basedOn w:val="Normal"/>
    <w:link w:val="HeaderChar"/>
    <w:uiPriority w:val="99"/>
    <w:rsid w:val="00302E97"/>
    <w:pPr>
      <w:widowControl/>
      <w:tabs>
        <w:tab w:val="center" w:pos="4706"/>
        <w:tab w:val="right" w:pos="9356"/>
      </w:tabs>
      <w:spacing w:after="80" w:line="200" w:lineRule="atLeast"/>
    </w:pPr>
    <w:rPr>
      <w:noProof/>
      <w:sz w:val="14"/>
      <w:lang w:val="en-US"/>
    </w:rPr>
  </w:style>
  <w:style w:type="character" w:customStyle="1" w:styleId="HeaderChar">
    <w:name w:val="Header Char"/>
    <w:aliases w:val="page-number Char"/>
    <w:basedOn w:val="DefaultParagraphFont"/>
    <w:link w:val="Header"/>
    <w:uiPriority w:val="99"/>
    <w:rsid w:val="00302E97"/>
    <w:rPr>
      <w:rFonts w:ascii="Times New Roman" w:eastAsia="SimSun" w:hAnsi="Times New Roman" w:cs="Times New Roman"/>
      <w:noProof/>
      <w:sz w:val="14"/>
      <w:szCs w:val="20"/>
      <w:lang w:val="en-US"/>
    </w:rPr>
  </w:style>
  <w:style w:type="paragraph" w:styleId="Footer">
    <w:name w:val="footer"/>
    <w:basedOn w:val="Header"/>
    <w:link w:val="FooterChar"/>
    <w:rsid w:val="00302E97"/>
    <w:pPr>
      <w:tabs>
        <w:tab w:val="right" w:pos="10080"/>
      </w:tabs>
      <w:spacing w:before="240" w:after="0" w:line="200" w:lineRule="exact"/>
    </w:pPr>
    <w:rPr>
      <w:i/>
    </w:rPr>
  </w:style>
  <w:style w:type="character" w:customStyle="1" w:styleId="FooterChar">
    <w:name w:val="Footer Char"/>
    <w:basedOn w:val="DefaultParagraphFont"/>
    <w:link w:val="Footer"/>
    <w:rsid w:val="00302E97"/>
    <w:rPr>
      <w:rFonts w:ascii="Times New Roman" w:eastAsia="SimSun" w:hAnsi="Times New Roman" w:cs="Times New Roman"/>
      <w:i/>
      <w:noProof/>
      <w:sz w:val="14"/>
      <w:szCs w:val="20"/>
      <w:lang w:val="en-US"/>
    </w:rPr>
  </w:style>
  <w:style w:type="character" w:styleId="Hyperlink">
    <w:name w:val="Hyperlink"/>
    <w:uiPriority w:val="99"/>
    <w:rsid w:val="00302E97"/>
    <w:rPr>
      <w:rFonts w:cs="Times New Roman"/>
      <w:color w:val="auto"/>
      <w:sz w:val="16"/>
      <w:u w:val="none"/>
    </w:rPr>
  </w:style>
  <w:style w:type="table" w:styleId="TableGrid">
    <w:name w:val="Table Grid"/>
    <w:basedOn w:val="TableNormal"/>
    <w:uiPriority w:val="39"/>
    <w:rsid w:val="00302E97"/>
    <w:pPr>
      <w:spacing w:after="0" w:line="240" w:lineRule="auto"/>
    </w:pPr>
    <w:rPr>
      <w:rFonts w:ascii="Times New Roman" w:eastAsia="SimSun" w:hAnsi="Times New Roman" w:cs="Times New Roman"/>
      <w:sz w:val="20"/>
      <w:szCs w:val="20"/>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ody of text"/>
    <w:basedOn w:val="Normal"/>
    <w:link w:val="ListParagraphChar"/>
    <w:uiPriority w:val="34"/>
    <w:qFormat/>
    <w:rsid w:val="00302E97"/>
    <w:pPr>
      <w:widowControl/>
      <w:spacing w:line="240" w:lineRule="auto"/>
      <w:ind w:left="720"/>
      <w:contextualSpacing/>
    </w:pPr>
    <w:rPr>
      <w:rFonts w:eastAsia="Times New Roman" w:cs="Arial"/>
      <w:sz w:val="24"/>
      <w:szCs w:val="22"/>
      <w:lang w:val="en-US"/>
    </w:rPr>
  </w:style>
  <w:style w:type="character" w:customStyle="1" w:styleId="ListParagraphChar">
    <w:name w:val="List Paragraph Char"/>
    <w:aliases w:val="Body of text Char"/>
    <w:link w:val="ListParagraph"/>
    <w:uiPriority w:val="34"/>
    <w:locked/>
    <w:rsid w:val="00302E97"/>
    <w:rPr>
      <w:rFonts w:ascii="Times New Roman" w:eastAsia="Times New Roman" w:hAnsi="Times New Roman" w:cs="Arial"/>
      <w:sz w:val="24"/>
      <w:lang w:val="en-US"/>
    </w:rPr>
  </w:style>
  <w:style w:type="character" w:customStyle="1" w:styleId="tlid-translation">
    <w:name w:val="tlid-translation"/>
    <w:basedOn w:val="DefaultParagraphFont"/>
    <w:rsid w:val="00302E97"/>
  </w:style>
  <w:style w:type="paragraph" w:styleId="BalloonText">
    <w:name w:val="Balloon Text"/>
    <w:basedOn w:val="Normal"/>
    <w:link w:val="BalloonTextChar"/>
    <w:uiPriority w:val="99"/>
    <w:semiHidden/>
    <w:unhideWhenUsed/>
    <w:rsid w:val="00302E97"/>
    <w:pPr>
      <w:spacing w:line="240" w:lineRule="auto"/>
    </w:pPr>
    <w:rPr>
      <w:rFonts w:ascii="Tahoma" w:hAnsi="Tahoma" w:cs="Tahoma"/>
      <w:szCs w:val="16"/>
    </w:rPr>
  </w:style>
  <w:style w:type="character" w:customStyle="1" w:styleId="BalloonTextChar">
    <w:name w:val="Balloon Text Char"/>
    <w:basedOn w:val="DefaultParagraphFont"/>
    <w:link w:val="BalloonText"/>
    <w:uiPriority w:val="99"/>
    <w:semiHidden/>
    <w:rsid w:val="00302E97"/>
    <w:rPr>
      <w:rFonts w:ascii="Tahoma" w:eastAsia="SimSun" w:hAnsi="Tahoma" w:cs="Tahoma"/>
      <w:sz w:val="16"/>
      <w:szCs w:val="16"/>
      <w:lang w:val="en-GB"/>
    </w:rPr>
  </w:style>
  <w:style w:type="paragraph" w:customStyle="1" w:styleId="MDPI42tablebody">
    <w:name w:val="MDPI_4.2_table_body"/>
    <w:qFormat/>
    <w:rsid w:val="00302E97"/>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styleId="BodyText">
    <w:name w:val="Body Text"/>
    <w:basedOn w:val="Normal"/>
    <w:link w:val="BodyTextChar"/>
    <w:uiPriority w:val="99"/>
    <w:semiHidden/>
    <w:unhideWhenUsed/>
    <w:rsid w:val="00302E97"/>
    <w:pPr>
      <w:widowControl/>
      <w:spacing w:after="120" w:line="276" w:lineRule="auto"/>
    </w:pPr>
    <w:rPr>
      <w:rFonts w:ascii="Calibri" w:eastAsia="Calibri" w:hAnsi="Calibri" w:cs="Arial"/>
      <w:sz w:val="22"/>
      <w:szCs w:val="22"/>
      <w:lang w:val="id-ID"/>
    </w:rPr>
  </w:style>
  <w:style w:type="character" w:customStyle="1" w:styleId="BodyTextChar">
    <w:name w:val="Body Text Char"/>
    <w:basedOn w:val="DefaultParagraphFont"/>
    <w:link w:val="BodyText"/>
    <w:uiPriority w:val="99"/>
    <w:semiHidden/>
    <w:rsid w:val="00302E97"/>
    <w:rPr>
      <w:rFonts w:ascii="Calibri" w:eastAsia="Calibri" w:hAnsi="Calibri" w:cs="Arial"/>
      <w:lang w:val="id-ID"/>
    </w:rPr>
  </w:style>
  <w:style w:type="paragraph" w:styleId="FootnoteText">
    <w:name w:val="footnote text"/>
    <w:basedOn w:val="Normal"/>
    <w:link w:val="FootnoteTextChar"/>
    <w:uiPriority w:val="99"/>
    <w:semiHidden/>
    <w:unhideWhenUsed/>
    <w:rsid w:val="00302E97"/>
    <w:pPr>
      <w:spacing w:line="240" w:lineRule="auto"/>
    </w:pPr>
    <w:rPr>
      <w:sz w:val="20"/>
    </w:rPr>
  </w:style>
  <w:style w:type="character" w:customStyle="1" w:styleId="FootnoteTextChar">
    <w:name w:val="Footnote Text Char"/>
    <w:basedOn w:val="DefaultParagraphFont"/>
    <w:link w:val="FootnoteText"/>
    <w:uiPriority w:val="99"/>
    <w:semiHidden/>
    <w:rsid w:val="00302E97"/>
    <w:rPr>
      <w:rFonts w:ascii="Times New Roman" w:eastAsia="SimSun" w:hAnsi="Times New Roman" w:cs="Times New Roman"/>
      <w:sz w:val="20"/>
      <w:szCs w:val="20"/>
      <w:lang w:val="en-GB"/>
    </w:rPr>
  </w:style>
  <w:style w:type="character" w:styleId="FootnoteReference">
    <w:name w:val="footnote reference"/>
    <w:uiPriority w:val="99"/>
    <w:semiHidden/>
    <w:unhideWhenUsed/>
    <w:rsid w:val="00302E97"/>
    <w:rPr>
      <w:vertAlign w:val="superscript"/>
    </w:rPr>
  </w:style>
  <w:style w:type="character" w:styleId="Strong">
    <w:name w:val="Strong"/>
    <w:uiPriority w:val="22"/>
    <w:qFormat/>
    <w:rsid w:val="00302E97"/>
    <w:rPr>
      <w:b/>
      <w:bCs/>
    </w:rPr>
  </w:style>
  <w:style w:type="character" w:customStyle="1" w:styleId="viiyi">
    <w:name w:val="viiyi"/>
    <w:basedOn w:val="DefaultParagraphFont"/>
    <w:rsid w:val="00302E97"/>
  </w:style>
  <w:style w:type="character" w:customStyle="1" w:styleId="q4iawc">
    <w:name w:val="q4iawc"/>
    <w:basedOn w:val="DefaultParagraphFont"/>
    <w:rsid w:val="00302E97"/>
  </w:style>
  <w:style w:type="character" w:styleId="Emphasis">
    <w:name w:val="Emphasis"/>
    <w:uiPriority w:val="20"/>
    <w:qFormat/>
    <w:rsid w:val="00302E97"/>
    <w:rPr>
      <w:i/>
      <w:iCs/>
    </w:rPr>
  </w:style>
  <w:style w:type="character" w:styleId="CommentReference">
    <w:name w:val="annotation reference"/>
    <w:uiPriority w:val="99"/>
    <w:semiHidden/>
    <w:unhideWhenUsed/>
    <w:rsid w:val="00302E97"/>
    <w:rPr>
      <w:sz w:val="16"/>
      <w:szCs w:val="16"/>
    </w:rPr>
  </w:style>
  <w:style w:type="paragraph" w:styleId="CommentText">
    <w:name w:val="annotation text"/>
    <w:basedOn w:val="Normal"/>
    <w:link w:val="CommentTextChar"/>
    <w:uiPriority w:val="99"/>
    <w:unhideWhenUsed/>
    <w:rsid w:val="00302E97"/>
    <w:rPr>
      <w:sz w:val="20"/>
    </w:rPr>
  </w:style>
  <w:style w:type="character" w:customStyle="1" w:styleId="CommentTextChar">
    <w:name w:val="Comment Text Char"/>
    <w:basedOn w:val="DefaultParagraphFont"/>
    <w:link w:val="CommentText"/>
    <w:uiPriority w:val="99"/>
    <w:rsid w:val="00302E97"/>
    <w:rPr>
      <w:rFonts w:ascii="Times New Roman" w:eastAsia="SimSu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302E97"/>
    <w:rPr>
      <w:b/>
      <w:bCs/>
    </w:rPr>
  </w:style>
  <w:style w:type="character" w:customStyle="1" w:styleId="CommentSubjectChar">
    <w:name w:val="Comment Subject Char"/>
    <w:basedOn w:val="CommentTextChar"/>
    <w:link w:val="CommentSubject"/>
    <w:uiPriority w:val="99"/>
    <w:semiHidden/>
    <w:rsid w:val="00302E97"/>
    <w:rPr>
      <w:rFonts w:ascii="Times New Roman" w:eastAsia="SimSun" w:hAnsi="Times New Roman" w:cs="Times New Roman"/>
      <w:b/>
      <w:bCs/>
      <w:sz w:val="20"/>
      <w:szCs w:val="20"/>
      <w:lang w:val="en-GB"/>
    </w:rPr>
  </w:style>
  <w:style w:type="paragraph" w:styleId="Revision">
    <w:name w:val="Revision"/>
    <w:hidden/>
    <w:uiPriority w:val="99"/>
    <w:semiHidden/>
    <w:rsid w:val="00302E97"/>
    <w:pPr>
      <w:spacing w:after="0" w:line="240" w:lineRule="auto"/>
    </w:pPr>
    <w:rPr>
      <w:rFonts w:ascii="Times New Roman" w:eastAsia="SimSun" w:hAnsi="Times New Roman" w:cs="Times New Roman"/>
      <w:sz w:val="16"/>
      <w:szCs w:val="20"/>
      <w:lang w:val="en-GB"/>
    </w:rPr>
  </w:style>
  <w:style w:type="paragraph" w:customStyle="1" w:styleId="Abstract">
    <w:name w:val="Abstract"/>
    <w:basedOn w:val="Normal"/>
    <w:next w:val="Normal"/>
    <w:qFormat/>
    <w:rsid w:val="00734255"/>
    <w:pPr>
      <w:widowControl/>
      <w:spacing w:before="360" w:after="300" w:line="360" w:lineRule="auto"/>
      <w:ind w:left="720" w:right="567"/>
      <w:contextualSpacing/>
    </w:pPr>
    <w:rPr>
      <w:rFonts w:eastAsia="Times New Roman"/>
      <w:sz w:val="22"/>
      <w:szCs w:val="24"/>
      <w:lang w:eastAsia="en-GB"/>
    </w:rPr>
  </w:style>
  <w:style w:type="character" w:styleId="UnresolvedMention">
    <w:name w:val="Unresolved Mention"/>
    <w:basedOn w:val="DefaultParagraphFont"/>
    <w:uiPriority w:val="99"/>
    <w:semiHidden/>
    <w:unhideWhenUsed/>
    <w:rsid w:val="004D4595"/>
    <w:rPr>
      <w:color w:val="605E5C"/>
      <w:shd w:val="clear" w:color="auto" w:fill="E1DFDD"/>
    </w:rPr>
  </w:style>
  <w:style w:type="character" w:customStyle="1" w:styleId="REFChar">
    <w:name w:val="REF Char"/>
    <w:basedOn w:val="DefaultParagraphFont"/>
    <w:link w:val="REF"/>
    <w:locked/>
    <w:rsid w:val="0087610A"/>
    <w:rPr>
      <w:rFonts w:ascii="Constantia" w:eastAsia="Times New Roman" w:hAnsi="Constantia"/>
      <w:sz w:val="24"/>
      <w:szCs w:val="24"/>
    </w:rPr>
  </w:style>
  <w:style w:type="paragraph" w:customStyle="1" w:styleId="REF">
    <w:name w:val="REF"/>
    <w:basedOn w:val="Normal"/>
    <w:link w:val="REFChar"/>
    <w:qFormat/>
    <w:rsid w:val="0087610A"/>
    <w:pPr>
      <w:widowControl/>
      <w:spacing w:line="240" w:lineRule="auto"/>
    </w:pPr>
    <w:rPr>
      <w:rFonts w:ascii="Constantia" w:eastAsia="Times New Roman" w:hAnsi="Constantia" w:cstheme="minorBidi"/>
      <w:sz w:val="24"/>
      <w:szCs w:val="24"/>
      <w:lang w:val="en-ID"/>
    </w:rPr>
  </w:style>
  <w:style w:type="paragraph" w:customStyle="1" w:styleId="MDPI41tablecaption">
    <w:name w:val="MDPI_4.1_table_caption"/>
    <w:basedOn w:val="Normal"/>
    <w:qFormat/>
    <w:rsid w:val="0087610A"/>
    <w:pPr>
      <w:widowControl/>
      <w:adjustRightInd w:val="0"/>
      <w:snapToGrid w:val="0"/>
      <w:spacing w:before="240" w:after="120" w:line="260" w:lineRule="atLeast"/>
      <w:ind w:left="425" w:right="425"/>
      <w:jc w:val="both"/>
    </w:pPr>
    <w:rPr>
      <w:rFonts w:ascii="Palatino Linotype" w:eastAsia="Times New Roman" w:hAnsi="Palatino Linotype"/>
      <w:color w:val="000000"/>
      <w:sz w:val="18"/>
      <w:szCs w:val="22"/>
      <w:lang w:val="en-US" w:eastAsia="de-DE" w:bidi="en-US"/>
    </w:rPr>
  </w:style>
  <w:style w:type="paragraph" w:customStyle="1" w:styleId="MDPI51figurecaption">
    <w:name w:val="MDPI_5.1_figure_caption"/>
    <w:basedOn w:val="Normal"/>
    <w:qFormat/>
    <w:rsid w:val="0087610A"/>
    <w:pPr>
      <w:widowControl/>
      <w:adjustRightInd w:val="0"/>
      <w:snapToGrid w:val="0"/>
      <w:spacing w:before="120" w:after="240" w:line="260" w:lineRule="atLeast"/>
      <w:ind w:left="425" w:right="425"/>
      <w:jc w:val="both"/>
    </w:pPr>
    <w:rPr>
      <w:rFonts w:ascii="Palatino Linotype" w:eastAsia="Times New Roman" w:hAnsi="Palatino Linotype"/>
      <w:color w:val="000000"/>
      <w:sz w:val="18"/>
      <w:lang w:val="en-US" w:eastAsia="de-DE" w:bidi="en-US"/>
    </w:rPr>
  </w:style>
  <w:style w:type="paragraph" w:customStyle="1" w:styleId="MDPI52figure">
    <w:name w:val="MDPI_5.2_figure"/>
    <w:qFormat/>
    <w:rsid w:val="0087610A"/>
    <w:pPr>
      <w:snapToGrid w:val="0"/>
      <w:spacing w:after="0" w:line="240" w:lineRule="auto"/>
      <w:jc w:val="center"/>
    </w:pPr>
    <w:rPr>
      <w:rFonts w:ascii="Palatino Linotype" w:eastAsia="Times New Roman" w:hAnsi="Palatino Linotype" w:cs="Times New Roman"/>
      <w:color w:val="000000"/>
      <w:sz w:val="24"/>
      <w:szCs w:val="20"/>
      <w:lang w:val="en-US" w:eastAsia="de-DE" w:bidi="en-US"/>
    </w:rPr>
  </w:style>
  <w:style w:type="table" w:styleId="PlainTable2">
    <w:name w:val="Plain Table 2"/>
    <w:basedOn w:val="TableNormal"/>
    <w:uiPriority w:val="42"/>
    <w:rsid w:val="00A2783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2">
    <w:name w:val="Table Grid2"/>
    <w:basedOn w:val="TableNormal"/>
    <w:uiPriority w:val="59"/>
    <w:rsid w:val="00A27839"/>
    <w:pPr>
      <w:spacing w:after="0" w:line="240" w:lineRule="auto"/>
    </w:pPr>
    <w:rPr>
      <w:rFonts w:ascii="Calibri" w:eastAsia="MS Mincho" w:hAnsi="Calibri" w:cs="Times New Roman"/>
      <w:sz w:val="20"/>
      <w:szCs w:val="20"/>
      <w:lang w:val="id-ID" w:eastAsia="id-ID"/>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A05119"/>
    <w:pPr>
      <w:spacing w:line="240" w:lineRule="auto"/>
    </w:pPr>
    <w:rPr>
      <w:rFonts w:ascii="Consolas" w:hAnsi="Consolas"/>
      <w:sz w:val="20"/>
    </w:rPr>
  </w:style>
  <w:style w:type="character" w:customStyle="1" w:styleId="HTMLPreformattedChar">
    <w:name w:val="HTML Preformatted Char"/>
    <w:basedOn w:val="DefaultParagraphFont"/>
    <w:link w:val="HTMLPreformatted"/>
    <w:uiPriority w:val="99"/>
    <w:semiHidden/>
    <w:rsid w:val="00A05119"/>
    <w:rPr>
      <w:rFonts w:ascii="Consolas" w:eastAsia="SimSun" w:hAnsi="Consolas" w:cs="Times New Roman"/>
      <w:sz w:val="20"/>
      <w:szCs w:val="20"/>
      <w:lang w:val="en-GB"/>
    </w:rPr>
  </w:style>
  <w:style w:type="paragraph" w:styleId="NormalWeb">
    <w:name w:val="Normal (Web)"/>
    <w:basedOn w:val="Normal"/>
    <w:uiPriority w:val="99"/>
    <w:semiHidden/>
    <w:unhideWhenUsed/>
    <w:rsid w:val="00F20EE8"/>
    <w:pPr>
      <w:widowControl/>
      <w:spacing w:before="100" w:beforeAutospacing="1" w:after="100" w:afterAutospacing="1" w:line="240" w:lineRule="auto"/>
    </w:pPr>
    <w:rPr>
      <w:rFonts w:eastAsia="Times New Roman"/>
      <w:sz w:val="24"/>
      <w:szCs w:val="24"/>
      <w:lang w:val="en-ID"/>
    </w:rPr>
  </w:style>
  <w:style w:type="paragraph" w:styleId="Bibliography">
    <w:name w:val="Bibliography"/>
    <w:basedOn w:val="Normal"/>
    <w:next w:val="Normal"/>
    <w:uiPriority w:val="37"/>
    <w:unhideWhenUsed/>
    <w:rsid w:val="00894F24"/>
    <w:pPr>
      <w:spacing w:line="480" w:lineRule="exact"/>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992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creativecommons.org/licenses/by-nc/4.0/"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D95EE9-A12F-4F2B-A16F-B67968797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23893</Words>
  <Characters>136195</Characters>
  <Application>Microsoft Office Word</Application>
  <DocSecurity>0</DocSecurity>
  <Lines>1134</Lines>
  <Paragraphs>319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dc:creator>
  <cp:keywords>docId:17D79EBCED1E01A45451A61904A2444A</cp:keywords>
  <dc:description/>
  <cp:lastModifiedBy>Reviewer</cp:lastModifiedBy>
  <cp:revision>2</cp:revision>
  <dcterms:created xsi:type="dcterms:W3CDTF">2026-10-16T01:51:00Z</dcterms:created>
  <dcterms:modified xsi:type="dcterms:W3CDTF">2026-10-16T01:51:00Z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7fa36eae-0f5c-478c-8e08-cb7b6036a1e9</vt:lpwstr>
  </property>
  <property fmtid="{D5CDD505-2E9C-101B-9397-08002B2CF9AE}" pid="3" name="Mendeley Document_1">
    <vt:lpwstr>True</vt:lpwstr>
  </property>
  <property fmtid="{D5CDD505-2E9C-101B-9397-08002B2CF9AE}" pid="4" name="Mendeley Citation Style_1">
    <vt:lpwstr>http://www.zotero.org/styles/apa</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6th/7th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17th edition (full note)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Mendeley Unique User Id_1">
    <vt:lpwstr>fdef2ba9-bdf5-377d-a4fd-6c5563ac7597</vt:lpwstr>
  </property>
  <property fmtid="{D5CDD505-2E9C-101B-9397-08002B2CF9AE}" pid="26" name="ZOTERO_PREF_1">
    <vt:lpwstr>&lt;data data-version="3" zotero-version="10.0.6"&gt;&lt;session id="nZVJAETE"/&gt;&lt;style id="http://www.zotero.org/styles/apa" locale="en-US" hasBibliography="1" bibliographyStyleHasBeenSet="1"/&gt;&lt;prefs&gt;&lt;pref name="fieldType" value="Field"/&gt;&lt;/prefs&gt;&lt;/data&gt;</vt:lpwstr>
  </property>
</Properties>
</file>